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  <w:lang w:val="sr-Cyrl-RS"/>
        </w:rPr>
      </w:pPr>
      <w:bookmarkStart w:id="0" w:name="_GoBack"/>
      <w:bookmarkEnd w:id="0"/>
      <w:r>
        <w:rPr>
          <w:b/>
          <w:u w:val="single"/>
          <w:lang w:val="sr-Cyrl-RS"/>
        </w:rPr>
        <w:t>ИЗВЕШТАЈ О РАДУ РЕГИОНАЛНОГ ЦЕНТРА ЗА ПРОФЕСИОНАЛНИ РАЗВОЈ ЗАПОСЛЕНИХ У ОБРАЗОВАЊУ СМЕДЕРЕВО ЗА 20</w:t>
      </w:r>
      <w:r>
        <w:rPr>
          <w:b/>
          <w:u w:val="single"/>
        </w:rPr>
        <w:t>2</w:t>
      </w:r>
      <w:r>
        <w:rPr>
          <w:b/>
          <w:u w:val="single"/>
          <w:lang w:val="sr-Latn-RS"/>
        </w:rPr>
        <w:t>2</w:t>
      </w:r>
      <w:r>
        <w:rPr>
          <w:b/>
          <w:u w:val="single"/>
          <w:lang w:val="sr-Cyrl-RS"/>
        </w:rPr>
        <w:t>. ГОДИНУ</w:t>
      </w:r>
    </w:p>
    <w:p>
      <w:pPr>
        <w:jc w:val="center"/>
        <w:rPr>
          <w:lang w:val="sr-Latn-CS"/>
        </w:rPr>
      </w:pPr>
    </w:p>
    <w:p>
      <w:pPr>
        <w:rPr>
          <w:lang w:val="sr-Latn-CS"/>
        </w:rPr>
      </w:pPr>
    </w:p>
    <w:p>
      <w:pPr>
        <w:rPr>
          <w:b/>
          <w:lang w:val="sr-Cyrl-RS"/>
        </w:rPr>
      </w:pPr>
    </w:p>
    <w:p>
      <w:pPr>
        <w:numPr>
          <w:ilvl w:val="0"/>
          <w:numId w:val="1"/>
        </w:numPr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РЕСУРСИ И КАДРОВСКА СТРУКТУРА УСТАНОВЕ</w:t>
      </w:r>
    </w:p>
    <w:p>
      <w:pPr>
        <w:rPr>
          <w:lang w:val="sr-Cyrl-RS"/>
        </w:rPr>
      </w:pP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На основу међудржавног уговора којим се прописује унапређење и сарадња у области образовања и васпитања, потписаног између Владе Републике Србије и Владе Швајцарске  Конфедерације, Град Смедерево је 2009. године донео Одлуку о оснивању Регионалног центра за професионални развој запослених у образовању Смедерево. У овом моменту Смедерево је један од 14 градова, односно општина који има основану ову установу која је у досадашњем периоду забележила видне резултате у континуираном стицању, проширивању и продубљивању знања и вештина које су релевантне за подизање квалитита наставе. Стручно усавршавање запослених у образовању постао је неизоставан сегмент целоживотног учења и унапређења квалитета рада наставника, професора, учитеља, стручних сарадника и директора.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 xml:space="preserve">Регионални центар за професионални развој запослених у образовању Смедерево је установа у којој се организују различити облици обука (семинари, трибине, дискусије, конгреси, презентације, округли столови и други видови едукације) не само за просветне раднике са територије Града Смедерева и околних градова, него и за запослене у другим делатностима- социјалне раднике, раднике локалних самоуправа, здравствене раднике и друге. 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У оквиру Регионалног центра постоји и Научни клуб Смедерево основан 2016. године са основним циљем децентрализације науке, односно шире популаризације и промоције научно-истраживачких достигнућа у Смедереву, али и околним градовима. Научни клуб Смедерево је место где ученици, наставници и научни радници изводе експерименте, организују радионице и трибине кaко би кроз стицање нових знања популарисали науку и истраживање.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У Регионалном центру Смедерево стратегија стручног усавршавања у региону примењује се и спроводи у складу са стратегијом коју је развио Центар за професионални развој Завода за унапређивање образовања и васпитања  (ЗУОВ), а у сарадњи са другим битним чиниоцима у образовању (као што је Завод за вредновање квалитета образовања и васпитања (ЗВКОВ), Центар за промоцију науке, Министарство просвете, науке и технолошког развоја Републике Србије, Школском управом Пожаревца и другим школским управама, сарадњу са свим образовно-васпитним установама  на територији града Смедерева,  другим центрима за стручно усавршавање, као и другим установама из области културе и других делатности). Циљеве и задатке и у 20</w:t>
      </w:r>
      <w:r>
        <w:t>2</w:t>
      </w:r>
      <w:r>
        <w:rPr>
          <w:lang w:val="sr-Latn-RS"/>
        </w:rPr>
        <w:t>2</w:t>
      </w:r>
      <w:r>
        <w:rPr>
          <w:lang w:val="sr-Cyrl-RS"/>
        </w:rPr>
        <w:t>. години Регионални центар Смедерево је остваривао и у оквиру Мреже регионалних центара и центара за стручно усавршавање Србије чији је члан у оквиру Мреже која је бројала 13 чланова током 20</w:t>
      </w:r>
      <w:r>
        <w:t>2</w:t>
      </w:r>
      <w:r>
        <w:rPr>
          <w:lang w:val="sr-Latn-RS"/>
        </w:rPr>
        <w:t>2</w:t>
      </w:r>
      <w:r>
        <w:rPr>
          <w:lang w:val="sr-Cyrl-RS"/>
        </w:rPr>
        <w:t>. године која је оформљена у складу са стратешким опредељењима и принципима децентрализације, једнакости и доступности стручног усавршавања просветних радника у Републици Србији, где су поред Смедерева и: Кикинда, Нови Пазар, Крагујевац, Ниш, Крушевац, Чачак, Ужице, Лесковац, Шабац, Кањижа , Књажевац  и Сомбор.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Реализација плана и програма рада Регионалног центра за професионални развој запослених у образовању Смедерево и у 202</w:t>
      </w:r>
      <w:r>
        <w:rPr>
          <w:lang w:val="sr-Latn-RS"/>
        </w:rPr>
        <w:t>2</w:t>
      </w:r>
      <w:r>
        <w:rPr>
          <w:lang w:val="sr-Cyrl-RS"/>
        </w:rPr>
        <w:t>. години  утврђене су актом о оснивању установе, те су и конкретне активности тако и реализоване, нешто у  мањем обиму</w:t>
      </w:r>
      <w:r>
        <w:rPr>
          <w:lang w:val="sr-Latn-RS"/>
        </w:rPr>
        <w:t xml:space="preserve"> </w:t>
      </w:r>
      <w:r>
        <w:rPr>
          <w:lang w:val="sr-Cyrl-RS"/>
        </w:rPr>
        <w:t>од датих циљева.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Након две фазе адаптације простора на другом и трећем спрату дела зграде некадашњег „Монопола“ на адреси Горанска бб у Смедереву, добијена је веома функционална целина површине преко 1200 квадратних метара у којој су изузетни услови за организацију различитих облика стручног усавршавања и целодневни боравак гостију. На другом спрату, где се налази први ниво Регионалног центра, налази се савршено опремљен простор који се простире на 600 квадратних метара- поред канцеларијског простора ту се налази конгресна сала са 150 места (климатизована, са уграђеним озвучењем, интернет конекцијом, 2 пројектора и интерактивном таблом), 3 учионице са 20-35 места и рачунарска учионица са 20 умрежених рачунара, које су на располагању корисницима услуга за организацију семинара, трибина, презентација, округлих столова и друго.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На трећем спрату, где је други ниво Регионалног центра за професионални развој запослених у образовању, налази се трпезаријски простор капацитета до 50 места и смештајни капацитети којима су створени одлични услови за смештај, исхрану и целодневни боравак гостију у Смедереву. У климатизованом простору, опремљеном кабловском телевизијом, видео-надзором и интернет-конекцијом Регионални центар располаже са 40 кревета у трокреветним, четворокреветним и петокреветним собама и апартманима.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Током 2022. године у РЦ Смедерево, поред директора који има уговор на одређено време, укупно је било запослено на неодређено  време 9 радника, док је   од 1. фебруара 2019. године једна радница  упућена на рад код другог послодавца (Центар за културу) и истој мирује радно место у Регионалном центру, док је због повећаног броја на смештају, које је у континуитету био и по неколико месеци за поједине групе, на одређено време  примљена је  једна радница са ССС на месту економа, а у складу са важећом систематизацијом радних места.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Поред ВД директора који је постављено лице  са ВСС, по систематизацији  структура  кадрова у РЦ Смедерево у 2022. години : 3 са ВСС, 4 са ВС, 2 са ССС и 1 са НС. Једна радница ЈП Градско стамбено обавља услуге одржавања у Регионалном центру. Одлуком о максималном броју запослених на неодређено време за сваки организациони облик у систему локалне самоуправе Града Смедерева за 2022. годину предвиђено је да Регионални центар за професионални развој запослених у образовању има 11 запослених на неодређено време, а највећи недостатак у кадровском погледу је недостатак лица које обавља послове на техничком и информатичком одржавању ресурса, јер је запослени који је обављао послове саветника-координатора информационих система, добивши ново радно место у Центру за промоцију науке у Београду, раскинуо уговор о раду са Регионалним центром за професионални развој запослених, а попуна упражњеног места   није решавана, док је у 2020. години судским решењем на рад враћена једна радница са ВС преузетих радника припојеног Радничког универзитета (што је условило и измену акта и правилника о систематизацији радних места у Регионалном центру).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</w:p>
    <w:p>
      <w:pPr>
        <w:pStyle w:val="12"/>
        <w:numPr>
          <w:ilvl w:val="0"/>
          <w:numId w:val="1"/>
        </w:numPr>
        <w:jc w:val="both"/>
        <w:rPr>
          <w:b/>
        </w:rPr>
      </w:pPr>
      <w:r>
        <w:rPr>
          <w:b/>
          <w:lang w:val="sr-Cyrl-RS"/>
        </w:rPr>
        <w:t>РЕАЛИЗАЦИЈА ФИНАНСИЈСКОГ ПЛАНА РЕГИОНАЛНОГ ЦЕНТРА ЗА ПРОФЕСИОНАЛНИ РАЗВОЈ ЗАПОСЛЕНИХ У ОБРАЗОВАЊУ СМЕДЕРЕВО ЗА 2022. годину</w:t>
      </w:r>
    </w:p>
    <w:p>
      <w:pPr>
        <w:jc w:val="both"/>
      </w:pPr>
    </w:p>
    <w:p>
      <w:pPr>
        <w:pStyle w:val="1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ГЛАВА 4.2 - РЕГИОНАЛНИ ЦЕНТАР ЗА ПРОФЕСИОНАЛНИ РАЗВОЈ ЗАПОСЛЕНИХ У ОБРАЗОВАЊУ </w:t>
      </w:r>
      <w:r>
        <w:rPr>
          <w:rStyle w:val="5"/>
          <w:rFonts w:ascii="Times New Roman" w:hAnsi="Times New Roman" w:cs="Times New Roman"/>
          <w:i w:val="0"/>
          <w:sz w:val="24"/>
          <w:szCs w:val="24"/>
        </w:rPr>
        <w:t>Одлуком о буџету града Смедерева за 20</w:t>
      </w:r>
      <w:r>
        <w:rPr>
          <w:rStyle w:val="5"/>
          <w:rFonts w:ascii="Times New Roman" w:hAnsi="Times New Roman" w:cs="Times New Roman"/>
          <w:i w:val="0"/>
          <w:sz w:val="24"/>
          <w:szCs w:val="24"/>
          <w:lang w:val="sr-Cyrl-CS"/>
        </w:rPr>
        <w:t>2</w:t>
      </w:r>
      <w:r>
        <w:rPr>
          <w:rStyle w:val="5"/>
          <w:rFonts w:ascii="Times New Roman" w:hAnsi="Times New Roman" w:cs="Times New Roman"/>
          <w:i w:val="0"/>
          <w:sz w:val="24"/>
          <w:szCs w:val="24"/>
        </w:rPr>
        <w:t xml:space="preserve">2. годину („Службени лист града Смедерева“, број 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/202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 планирана су средства у износу од </w:t>
      </w:r>
      <w:r>
        <w:rPr>
          <w:rFonts w:ascii="Times New Roman" w:hAnsi="Times New Roman" w:cs="Times New Roman"/>
          <w:b/>
          <w:bCs/>
          <w:sz w:val="24"/>
          <w:szCs w:val="24"/>
        </w:rPr>
        <w:t>19.885.225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али је Закључком број 400-2479/2022-09 од 24. марта 2022. године одобрено 2.646.206,28 динара по Одлуци о буџету града Смедерева за 2022. из текуће резерве за исплату средстава по пресуди Основног суда број 1П1 бр. 186/19 донете дана 29.12.2021. год. те су средства из буџета у износу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од 22.531.433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Ребалансом Буџета од 29. јуна 2022. године опредељена су средства у укупном износу од 24.198.344 динара из Буџета града Смедерева, док су  Ребалансом 2  из новембра месеца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укупна средства у износу од 23.327.284 динара. У периоду јануар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 године утрошена су средства у износу од 21.283.330 динара, односно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91,2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%</w:t>
      </w:r>
      <w:r>
        <w:rPr>
          <w:rFonts w:ascii="Times New Roman" w:hAnsi="Times New Roman" w:cs="Times New Roman"/>
          <w:sz w:val="24"/>
          <w:szCs w:val="24"/>
          <w:lang w:val="sr-Cyrl-CS"/>
        </w:rPr>
        <w:t> од годишњег плана.</w:t>
      </w:r>
    </w:p>
    <w:p>
      <w:pPr>
        <w:rPr>
          <w:sz w:val="20"/>
          <w:szCs w:val="20"/>
        </w:rPr>
      </w:pPr>
    </w:p>
    <w:tbl>
      <w:tblPr>
        <w:tblStyle w:val="3"/>
        <w:tblW w:w="10206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52"/>
        <w:gridCol w:w="1038"/>
        <w:gridCol w:w="2221"/>
        <w:gridCol w:w="1985"/>
        <w:gridCol w:w="1559"/>
        <w:gridCol w:w="1435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18" w:hRule="exact"/>
        </w:trPr>
        <w:tc>
          <w:tcPr>
            <w:tcW w:w="852" w:type="dxa"/>
            <w:shd w:val="clear" w:color="auto" w:fill="FFFFFF"/>
          </w:tcPr>
          <w:p>
            <w:pPr>
              <w:rPr>
                <w:spacing w:val="-11"/>
                <w:sz w:val="20"/>
                <w:szCs w:val="20"/>
                <w:lang w:val="sr-Cyrl-CS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  <w:lang w:val="sr-Cyrl-CS"/>
              </w:rPr>
              <w:t xml:space="preserve">Шифра </w:t>
            </w:r>
            <w:r>
              <w:rPr>
                <w:spacing w:val="-7"/>
                <w:sz w:val="20"/>
                <w:szCs w:val="20"/>
                <w:lang w:val="sr-Cyrl-CS"/>
              </w:rPr>
              <w:t>програма</w:t>
            </w:r>
          </w:p>
        </w:tc>
        <w:tc>
          <w:tcPr>
            <w:tcW w:w="1038" w:type="dxa"/>
            <w:shd w:val="clear" w:color="auto" w:fill="FFFFFF"/>
          </w:tcPr>
          <w:p>
            <w:pPr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  <w:lang w:val="sr-Cyrl-CS"/>
              </w:rPr>
              <w:t xml:space="preserve">Шифра </w:t>
            </w:r>
            <w:r>
              <w:rPr>
                <w:spacing w:val="-5"/>
                <w:sz w:val="20"/>
                <w:szCs w:val="20"/>
                <w:lang w:val="sr-Cyrl-CS"/>
              </w:rPr>
              <w:t xml:space="preserve">програмске </w:t>
            </w:r>
            <w:r>
              <w:rPr>
                <w:spacing w:val="-6"/>
                <w:sz w:val="20"/>
                <w:szCs w:val="20"/>
                <w:lang w:val="sr-Cyrl-CS"/>
              </w:rPr>
              <w:t xml:space="preserve">активности </w:t>
            </w:r>
            <w:r>
              <w:rPr>
                <w:spacing w:val="-1"/>
                <w:sz w:val="20"/>
                <w:szCs w:val="20"/>
                <w:lang w:val="sr-Cyrl-CS"/>
              </w:rPr>
              <w:t>/пројекта</w:t>
            </w:r>
          </w:p>
        </w:tc>
        <w:tc>
          <w:tcPr>
            <w:tcW w:w="2221" w:type="dxa"/>
            <w:shd w:val="clear" w:color="auto" w:fill="FFFFFF"/>
          </w:tcPr>
          <w:p>
            <w:pPr>
              <w:rPr>
                <w:spacing w:val="-7"/>
                <w:sz w:val="20"/>
                <w:szCs w:val="20"/>
                <w:lang w:val="sr-Cyrl-CS"/>
              </w:rPr>
            </w:pPr>
          </w:p>
          <w:p>
            <w:pPr>
              <w:rPr>
                <w:spacing w:val="-7"/>
                <w:sz w:val="20"/>
                <w:szCs w:val="20"/>
                <w:lang w:val="sr-Cyrl-CS"/>
              </w:rPr>
            </w:pPr>
            <w:r>
              <w:rPr>
                <w:spacing w:val="-7"/>
                <w:sz w:val="20"/>
                <w:szCs w:val="20"/>
                <w:lang w:val="sr-Cyrl-CS"/>
              </w:rPr>
              <w:t>Назив програма / програмске активности / пројекта</w:t>
            </w:r>
          </w:p>
        </w:tc>
        <w:tc>
          <w:tcPr>
            <w:tcW w:w="1985" w:type="dxa"/>
            <w:shd w:val="clear" w:color="auto" w:fill="FFFFFF"/>
          </w:tcPr>
          <w:p>
            <w:pPr>
              <w:jc w:val="center"/>
              <w:rPr>
                <w:spacing w:val="-7"/>
                <w:sz w:val="20"/>
                <w:szCs w:val="20"/>
                <w:lang w:val="sr-Cyrl-CS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  <w:lang w:val="sr-Cyrl-CS"/>
              </w:rPr>
              <w:t xml:space="preserve">Усвојен </w:t>
            </w:r>
            <w:r>
              <w:rPr>
                <w:spacing w:val="-9"/>
                <w:sz w:val="20"/>
                <w:szCs w:val="20"/>
                <w:lang w:val="sr-Cyrl-CS"/>
              </w:rPr>
              <w:t xml:space="preserve">буџет за </w:t>
            </w:r>
            <w:r>
              <w:rPr>
                <w:spacing w:val="-13"/>
                <w:sz w:val="20"/>
                <w:szCs w:val="20"/>
                <w:lang w:val="sr-Cyrl-CS"/>
              </w:rPr>
              <w:t>20</w:t>
            </w:r>
            <w:r>
              <w:rPr>
                <w:spacing w:val="-13"/>
                <w:sz w:val="20"/>
                <w:szCs w:val="20"/>
              </w:rPr>
              <w:t>2</w:t>
            </w:r>
            <w:r>
              <w:rPr>
                <w:spacing w:val="-13"/>
                <w:sz w:val="20"/>
                <w:szCs w:val="20"/>
                <w:lang w:val="sr-Cyrl-RS"/>
              </w:rPr>
              <w:t>2</w:t>
            </w:r>
            <w:r>
              <w:rPr>
                <w:spacing w:val="-13"/>
                <w:sz w:val="20"/>
                <w:szCs w:val="20"/>
                <w:lang w:val="sr-Cyrl-CS"/>
              </w:rPr>
              <w:t>.</w:t>
            </w:r>
            <w:r>
              <w:rPr>
                <w:spacing w:val="-13"/>
                <w:sz w:val="20"/>
                <w:szCs w:val="20"/>
              </w:rPr>
              <w:t>годину</w:t>
            </w:r>
          </w:p>
        </w:tc>
        <w:tc>
          <w:tcPr>
            <w:tcW w:w="1559" w:type="dxa"/>
            <w:shd w:val="clear" w:color="auto" w:fill="FFFFFF"/>
          </w:tcPr>
          <w:p>
            <w:pPr>
              <w:rPr>
                <w:spacing w:val="-6"/>
                <w:sz w:val="20"/>
                <w:szCs w:val="20"/>
                <w:lang w:val="sr-Cyrl-CS"/>
              </w:rPr>
            </w:pPr>
          </w:p>
          <w:p>
            <w:pPr>
              <w:rPr>
                <w:sz w:val="20"/>
                <w:szCs w:val="20"/>
                <w:lang w:val="sr-Cyrl-RS"/>
              </w:rPr>
            </w:pPr>
            <w:r>
              <w:rPr>
                <w:spacing w:val="-6"/>
                <w:sz w:val="20"/>
                <w:szCs w:val="20"/>
                <w:lang w:val="sr-Cyrl-CS"/>
              </w:rPr>
              <w:t xml:space="preserve">Текући буџет </w:t>
            </w:r>
            <w:r>
              <w:rPr>
                <w:spacing w:val="-12"/>
                <w:sz w:val="20"/>
                <w:szCs w:val="20"/>
                <w:lang w:val="sr-Cyrl-CS"/>
              </w:rPr>
              <w:t xml:space="preserve">за </w:t>
            </w:r>
            <w:r>
              <w:rPr>
                <w:spacing w:val="-13"/>
                <w:sz w:val="20"/>
                <w:szCs w:val="20"/>
                <w:lang w:val="sr-Cyrl-CS"/>
              </w:rPr>
              <w:t>20</w:t>
            </w:r>
            <w:r>
              <w:rPr>
                <w:spacing w:val="-13"/>
                <w:sz w:val="20"/>
                <w:szCs w:val="20"/>
              </w:rPr>
              <w:t>2</w:t>
            </w:r>
            <w:r>
              <w:rPr>
                <w:spacing w:val="-13"/>
                <w:sz w:val="20"/>
                <w:szCs w:val="20"/>
                <w:lang w:val="sr-Cyrl-RS"/>
              </w:rPr>
              <w:t>2</w:t>
            </w:r>
            <w:r>
              <w:rPr>
                <w:spacing w:val="-13"/>
                <w:sz w:val="20"/>
                <w:szCs w:val="20"/>
                <w:lang w:val="sr-Cyrl-CS"/>
              </w:rPr>
              <w:t xml:space="preserve">. </w:t>
            </w:r>
            <w:r>
              <w:rPr>
                <w:spacing w:val="-13"/>
                <w:sz w:val="20"/>
                <w:szCs w:val="20"/>
              </w:rPr>
              <w:t>Годину</w:t>
            </w:r>
            <w:r>
              <w:rPr>
                <w:spacing w:val="-13"/>
                <w:sz w:val="20"/>
                <w:szCs w:val="20"/>
                <w:lang w:val="sr-Cyrl-RS"/>
              </w:rPr>
              <w:t>-други ребаланс</w:t>
            </w:r>
          </w:p>
        </w:tc>
        <w:tc>
          <w:tcPr>
            <w:tcW w:w="1435" w:type="dxa"/>
            <w:shd w:val="clear" w:color="auto" w:fill="FFFFFF"/>
          </w:tcPr>
          <w:p>
            <w:pPr>
              <w:rPr>
                <w:spacing w:val="-3"/>
                <w:sz w:val="20"/>
                <w:szCs w:val="20"/>
                <w:lang w:val="sr-Cyrl-CS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  <w:lang w:val="sr-Cyrl-CS"/>
              </w:rPr>
              <w:t xml:space="preserve">Извршење у </w:t>
            </w:r>
            <w:r>
              <w:rPr>
                <w:spacing w:val="-10"/>
                <w:sz w:val="20"/>
                <w:szCs w:val="20"/>
                <w:lang w:val="sr-Cyrl-CS"/>
              </w:rPr>
              <w:t>20</w:t>
            </w: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sr-Cyrl-RS"/>
              </w:rPr>
              <w:t>2</w:t>
            </w:r>
            <w:r>
              <w:rPr>
                <w:spacing w:val="-10"/>
                <w:sz w:val="20"/>
                <w:szCs w:val="20"/>
                <w:lang w:val="sr-Cyrl-CS"/>
              </w:rPr>
              <w:t>.</w:t>
            </w:r>
            <w:r>
              <w:rPr>
                <w:spacing w:val="-13"/>
                <w:sz w:val="20"/>
                <w:szCs w:val="20"/>
              </w:rPr>
              <w:t xml:space="preserve"> години</w:t>
            </w:r>
          </w:p>
        </w:tc>
        <w:tc>
          <w:tcPr>
            <w:tcW w:w="1116" w:type="dxa"/>
            <w:shd w:val="clear" w:color="auto" w:fill="FFFFFF"/>
          </w:tcPr>
          <w:p>
            <w:pPr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  <w:lang w:val="sr-Cyrl-CS"/>
              </w:rPr>
              <w:t xml:space="preserve">Проценат </w:t>
            </w:r>
            <w:r>
              <w:rPr>
                <w:spacing w:val="-7"/>
                <w:sz w:val="20"/>
                <w:szCs w:val="20"/>
                <w:lang w:val="sr-Cyrl-CS"/>
              </w:rPr>
              <w:t xml:space="preserve">извршења у </w:t>
            </w:r>
            <w:r>
              <w:rPr>
                <w:spacing w:val="-6"/>
                <w:sz w:val="20"/>
                <w:szCs w:val="20"/>
                <w:lang w:val="sr-Cyrl-CS"/>
              </w:rPr>
              <w:t xml:space="preserve">односу на </w:t>
            </w:r>
            <w:r>
              <w:rPr>
                <w:spacing w:val="-4"/>
                <w:sz w:val="20"/>
                <w:szCs w:val="20"/>
                <w:lang w:val="sr-Cyrl-CS"/>
              </w:rPr>
              <w:t xml:space="preserve">текући </w:t>
            </w:r>
            <w:r>
              <w:rPr>
                <w:spacing w:val="-7"/>
                <w:sz w:val="20"/>
                <w:szCs w:val="20"/>
                <w:lang w:val="sr-Cyrl-CS"/>
              </w:rPr>
              <w:t>буџет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26" w:hRule="exact"/>
        </w:trPr>
        <w:tc>
          <w:tcPr>
            <w:tcW w:w="852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Програм 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RS"/>
              </w:rPr>
              <w:t>Средње образовање и васпитање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22.381.433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spacing w:val="-6"/>
                <w:lang w:val="sr-Cyrl-CS"/>
              </w:rPr>
            </w:pPr>
            <w:r>
              <w:rPr>
                <w:spacing w:val="-6"/>
                <w:lang w:val="sr-Cyrl-CS"/>
              </w:rPr>
              <w:t>23.327.284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21.283.330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91,2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26" w:hRule="exact"/>
        </w:trPr>
        <w:tc>
          <w:tcPr>
            <w:tcW w:w="852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2004-0012</w:t>
            </w:r>
          </w:p>
        </w:tc>
        <w:tc>
          <w:tcPr>
            <w:tcW w:w="2221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Програмска активност: Функционисање установа за стручно усавршавање запослених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22.381.433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spacing w:val="-6"/>
                <w:lang w:val="sr-Cyrl-CS"/>
              </w:rPr>
            </w:pPr>
            <w:r>
              <w:rPr>
                <w:spacing w:val="-6"/>
                <w:lang w:val="sr-Cyrl-CS"/>
              </w:rPr>
              <w:t>23.327.284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21.283.330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91,2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8" w:hRule="exact"/>
        </w:trPr>
        <w:tc>
          <w:tcPr>
            <w:tcW w:w="852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УКУПНО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22.381.433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jc w:val="center"/>
              <w:rPr>
                <w:spacing w:val="-6"/>
                <w:lang w:val="sr-Cyrl-CS"/>
              </w:rPr>
            </w:pPr>
            <w:r>
              <w:rPr>
                <w:spacing w:val="-6"/>
                <w:lang w:val="sr-Cyrl-CS"/>
              </w:rPr>
              <w:t>23.327.284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21.283.330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jc w:val="center"/>
              <w:rPr>
                <w:spacing w:val="-7"/>
                <w:lang w:val="sr-Cyrl-CS"/>
              </w:rPr>
            </w:pPr>
            <w:r>
              <w:rPr>
                <w:spacing w:val="-7"/>
                <w:lang w:val="sr-Cyrl-CS"/>
              </w:rPr>
              <w:t>91,2</w:t>
            </w:r>
          </w:p>
        </w:tc>
      </w:tr>
    </w:tbl>
    <w:p>
      <w:pPr>
        <w:rPr>
          <w:lang w:val="sr-Cyrl-RS"/>
        </w:rPr>
      </w:pPr>
    </w:p>
    <w:p>
      <w:pPr>
        <w:rPr>
          <w:b/>
          <w:bCs/>
          <w:iCs/>
        </w:rPr>
      </w:pPr>
    </w:p>
    <w:p>
      <w:pPr>
        <w:jc w:val="both"/>
        <w:rPr>
          <w:lang w:val="sr-Cyrl-RS"/>
        </w:rPr>
      </w:pPr>
      <w:r>
        <w:rPr>
          <w:lang w:val="sr-Cyrl-RS"/>
        </w:rPr>
        <w:t>Сагледав</w:t>
      </w:r>
      <w:r>
        <w:t>aj</w:t>
      </w:r>
      <w:r>
        <w:rPr>
          <w:lang w:val="sr-Cyrl-RS"/>
        </w:rPr>
        <w:t>ући структуру извора финансирања средства из буџета града Смедерева  од планираних 22.528.498 динара су  реализована у износу од 20.776.558 динара, из средстава Републике (средства за програме ЦПН-а, а такође преко Буџета града Смедерева) од уплаћених 314.000 динара у 2022. години   реализована су у износу од 21.987 динара, док су наменска средства која су пренета из претходне 2021. године у износу од 134.786 динара реализована   у целости, као и  средства од Министарства просвете за програме од јавног интереса у 2022. години, уплаћена преко Буџета града у износу од 350.000 динара  реализована  су у 2022. години.</w:t>
      </w:r>
    </w:p>
    <w:p>
      <w:pPr>
        <w:ind w:left="720"/>
        <w:jc w:val="both"/>
        <w:rPr>
          <w:lang w:val="sr-Cyrl-RS"/>
        </w:rPr>
      </w:pPr>
    </w:p>
    <w:p>
      <w:pPr>
        <w:ind w:left="720"/>
        <w:jc w:val="center"/>
        <w:rPr>
          <w:b/>
          <w:lang w:val="sr-Cyrl-RS"/>
        </w:rPr>
      </w:pPr>
      <w:r>
        <w:rPr>
          <w:b/>
          <w:lang w:val="sr-Cyrl-RS"/>
        </w:rPr>
        <w:t>Планирани и извршени расходи за период јануар-децембар 2022. године:</w:t>
      </w:r>
    </w:p>
    <w:tbl>
      <w:tblPr>
        <w:tblStyle w:val="11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34"/>
        <w:gridCol w:w="1678"/>
        <w:gridCol w:w="172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Конто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Опис</w:t>
            </w:r>
          </w:p>
        </w:tc>
        <w:tc>
          <w:tcPr>
            <w:tcW w:w="1678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Планирана укупна средства за 2022. годину</w:t>
            </w:r>
          </w:p>
        </w:tc>
        <w:tc>
          <w:tcPr>
            <w:tcW w:w="1726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Реализована укупна средства у 2022. години</w:t>
            </w:r>
          </w:p>
        </w:tc>
        <w:tc>
          <w:tcPr>
            <w:tcW w:w="1709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% реализације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411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Плате, додаци и накнаде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12.294.053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12.284.346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412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Социјални доприноси послод.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1.907.249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1.905.681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413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Накнаде у натури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54.490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414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Социјална давања запосленима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155.000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415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Накнада трошкова за запослене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420.000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416.655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416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Награде запосленима-јубиларне награде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389.089</w:t>
            </w:r>
          </w:p>
        </w:tc>
        <w:tc>
          <w:tcPr>
            <w:tcW w:w="1709" w:type="dxa"/>
          </w:tcPr>
          <w:p>
            <w:pPr>
              <w:jc w:val="right"/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421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Стални трошкови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2.260.417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2.046.236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422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Трошкови путовања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124.646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62.054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49,8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423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 по уговору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2.482.196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1.733.590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69,8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424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Специјализоване услуге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102.000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40.000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425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Текуће поправке и одржавање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850.000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671.074</w:t>
            </w:r>
          </w:p>
        </w:tc>
        <w:tc>
          <w:tcPr>
            <w:tcW w:w="1709" w:type="dxa"/>
          </w:tcPr>
          <w:p>
            <w:pPr>
              <w:jc w:val="right"/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78,9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426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Материјал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1.151.723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801.234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69,6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482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Порези, таксе, казне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1.602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483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Новчане казне и пенали по реш.суда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227.195</w:t>
            </w:r>
          </w:p>
        </w:tc>
        <w:tc>
          <w:tcPr>
            <w:tcW w:w="1709" w:type="dxa"/>
          </w:tcPr>
          <w:p>
            <w:pPr>
              <w:jc w:val="right"/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98,8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511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Зграде и гр.објекти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512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Машине и опрема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440.000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260.414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59,2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515</w:t>
            </w: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Нематеријална имовина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280.000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239.670</w:t>
            </w:r>
          </w:p>
        </w:tc>
        <w:tc>
          <w:tcPr>
            <w:tcW w:w="1709" w:type="dxa"/>
          </w:tcPr>
          <w:p>
            <w:pPr>
              <w:jc w:val="right"/>
            </w:pPr>
          </w:p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85,6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jc w:val="both"/>
              <w:rPr>
                <w:lang w:val="sr-Cyrl-RS"/>
              </w:rPr>
            </w:pPr>
          </w:p>
        </w:tc>
        <w:tc>
          <w:tcPr>
            <w:tcW w:w="2334" w:type="dxa"/>
          </w:tcPr>
          <w:p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 К У П Н О:</w:t>
            </w:r>
          </w:p>
        </w:tc>
        <w:tc>
          <w:tcPr>
            <w:tcW w:w="1678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23.327.284</w:t>
            </w:r>
          </w:p>
        </w:tc>
        <w:tc>
          <w:tcPr>
            <w:tcW w:w="1726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21.283.330</w:t>
            </w:r>
          </w:p>
        </w:tc>
        <w:tc>
          <w:tcPr>
            <w:tcW w:w="1709" w:type="dxa"/>
          </w:tcPr>
          <w:p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91,2</w:t>
            </w:r>
          </w:p>
        </w:tc>
      </w:tr>
    </w:tbl>
    <w:p>
      <w:pPr>
        <w:ind w:left="720"/>
        <w:jc w:val="both"/>
        <w:rPr>
          <w:lang w:val="sr-Cyrl-RS"/>
        </w:rPr>
      </w:pPr>
    </w:p>
    <w:p>
      <w:pPr>
        <w:jc w:val="both"/>
        <w:rPr>
          <w:lang w:val="sr-Cyrl-RS"/>
        </w:rPr>
      </w:pPr>
      <w:r>
        <w:rPr>
          <w:lang w:val="sr-Cyrl-RS"/>
        </w:rPr>
        <w:t>У структури укупних расхода и трошкова рада Центра средства за зараде са припадајућим порезима и  доприносима на терет 11 запослених и терет  послодавца, као и исплата зарада по решењу суда за радницу која је враћена на рад  у укупним средствима чине 66,7 % и износе 14.190.027 динара( реализација са 99,9%)</w:t>
      </w:r>
    </w:p>
    <w:p>
      <w:pPr>
        <w:ind w:left="720"/>
        <w:jc w:val="both"/>
        <w:rPr>
          <w:i/>
          <w:iCs/>
          <w:lang w:val="sr-Cyrl-RS"/>
        </w:rPr>
      </w:pPr>
      <w:r>
        <w:rPr>
          <w:i/>
          <w:iCs/>
          <w:lang w:val="sr-Cyrl-RS"/>
        </w:rPr>
        <w:t xml:space="preserve">Зараде у 2022. години су у складу са Закључком Владе и исте су увећане за само 7% за 2022. годину  (основица за обрачун у нето износу од 3.228,44 динара за запослене у осталим јавним службама чији је оснивач локална власт) што условљава да </w:t>
      </w:r>
      <w:r>
        <w:rPr>
          <w:b/>
          <w:bCs/>
          <w:i/>
          <w:iCs/>
          <w:u w:val="single"/>
          <w:lang w:val="sr-Cyrl-RS"/>
        </w:rPr>
        <w:t>су просечне зараде са минулим радом за 11 запослених  које су исплаћене у 2022. години у износу од 56.446,88 динара</w:t>
      </w:r>
      <w:r>
        <w:rPr>
          <w:i/>
          <w:iCs/>
          <w:lang w:val="sr-Cyrl-RS"/>
        </w:rPr>
        <w:t xml:space="preserve"> и   знатно су  ниже од просечно исплаћених зарада на нивоу Републике Србије (по месецима јануар-октобар у износу од 70.605 динара до 75.353 динара). Имајући у виду да је стопа инфлације мерена индексом потрошачких цена од почетка године закључно са новембром 14,6% ,  зараде бележе реалан и номиналан пад.</w:t>
      </w:r>
    </w:p>
    <w:p>
      <w:pPr>
        <w:ind w:left="720"/>
        <w:jc w:val="both"/>
        <w:rPr>
          <w:lang w:val="sr-Cyrl-RS"/>
        </w:rPr>
      </w:pPr>
      <w:r>
        <w:rPr>
          <w:lang w:val="sr-Cyrl-RS"/>
        </w:rPr>
        <w:t>Просечне зараде са минулим радом у 2022. години по структури у Регионалном центру су:</w:t>
      </w:r>
    </w:p>
    <w:p>
      <w:pPr>
        <w:ind w:left="720"/>
        <w:jc w:val="both"/>
        <w:rPr>
          <w:lang w:val="sr-Cyrl-RS"/>
        </w:rPr>
      </w:pPr>
      <w:r>
        <w:rPr>
          <w:lang w:val="sr-Cyrl-RS"/>
        </w:rPr>
        <w:t>- 4 са ВСС........ 70.754,13 динара</w:t>
      </w:r>
    </w:p>
    <w:p>
      <w:pPr>
        <w:ind w:left="720"/>
        <w:jc w:val="both"/>
        <w:rPr>
          <w:lang w:val="sr-Cyrl-RS"/>
        </w:rPr>
      </w:pPr>
      <w:r>
        <w:rPr>
          <w:lang w:val="sr-Cyrl-RS"/>
        </w:rPr>
        <w:t>-4 са ВС............ 53.267,38 динара</w:t>
      </w:r>
    </w:p>
    <w:p>
      <w:pPr>
        <w:ind w:left="720"/>
        <w:jc w:val="both"/>
        <w:rPr>
          <w:lang w:val="sr-Cyrl-RS"/>
        </w:rPr>
      </w:pPr>
      <w:r>
        <w:rPr>
          <w:lang w:val="sr-Cyrl-RS"/>
        </w:rPr>
        <w:t>-3 са ССС..........41.582,20 динара</w:t>
      </w:r>
    </w:p>
    <w:p>
      <w:pPr>
        <w:ind w:firstLine="720"/>
        <w:rPr>
          <w:lang w:val="sr-Cyrl-RS"/>
        </w:rPr>
      </w:pPr>
      <w:r>
        <w:rPr>
          <w:lang w:val="sr-Cyrl-RS"/>
        </w:rPr>
        <w:t>-Зарада директора са минулим радом од 28 година је......93.462,33 динара (једино зарада директора је већа од просека Републике)</w:t>
      </w:r>
    </w:p>
    <w:p>
      <w:pPr>
        <w:jc w:val="both"/>
        <w:rPr>
          <w:lang w:val="sr-Cyrl-RS"/>
        </w:rPr>
      </w:pPr>
      <w:r>
        <w:rPr>
          <w:lang w:val="sr-Cyrl-RS"/>
        </w:rPr>
        <w:t>За накнаде у натури (поклони деци за Нову годину) реализовани су у износу од 54.490 динара (реализација са 90,8%), накнада трошкова за запослене (путни трошкови) реализовани су са 99,2% и износе 416.654 динара, исплата 2 јубиларне награде за запослене у износу од 389.089 динара (реализација са 97,3%), док социјалних давања није било у 2022. години.</w:t>
      </w:r>
    </w:p>
    <w:p>
      <w:pPr>
        <w:jc w:val="both"/>
        <w:rPr>
          <w:lang w:val="sr-Cyrl-RS"/>
        </w:rPr>
      </w:pPr>
      <w:r>
        <w:rPr>
          <w:lang w:val="sr-Cyrl-RS"/>
        </w:rPr>
        <w:t xml:space="preserve">Што се сталних трошкова тиче (трошкови платног промета, комуналне услуге, услуге чишћења у простору центра, трошкови телефона, интернета, кабловске телевизије, поште и осигурања имовине и запослених) реализована су средства од 2,04 милиона динара, што је ниво реализације у односу на план од 90,5%. </w:t>
      </w:r>
    </w:p>
    <w:p>
      <w:pPr>
        <w:jc w:val="both"/>
        <w:rPr>
          <w:lang w:val="sr-Cyrl-RS"/>
        </w:rPr>
      </w:pPr>
      <w:r>
        <w:rPr>
          <w:lang w:val="sr-Cyrl-RS"/>
        </w:rPr>
        <w:t>За трошкове путовања током 2022. године за запослене и сараднике у реализацији пројеката укупно је утрошено 62. 042 динара (реализација у односу на план 49,8%).</w:t>
      </w:r>
    </w:p>
    <w:p>
      <w:pPr>
        <w:jc w:val="both"/>
        <w:rPr>
          <w:lang w:val="sr-Cyrl-RS"/>
        </w:rPr>
      </w:pPr>
      <w:r>
        <w:rPr>
          <w:lang w:val="sr-Cyrl-RS"/>
        </w:rPr>
        <w:t>За услуге по уговору укупно је утрошено 1,73 милиона динара (реализација у односу на план од 69,8%) где су највећи износ средстава за остале стручне услуге по ауторским уговорима за реализаторе програма и семинара и то је износ од 755.713 динара, док су ту и трошкови по основу уговора за услуге одржавање софтвера и рачунара, услуге информисања јавности, угоститељске услуге за потребе организације одређених скупова, услуге штампе и остале опште услуге.</w:t>
      </w:r>
    </w:p>
    <w:p>
      <w:pPr>
        <w:jc w:val="both"/>
        <w:rPr>
          <w:lang w:val="sr-Cyrl-RS"/>
        </w:rPr>
      </w:pPr>
      <w:r>
        <w:rPr>
          <w:lang w:val="sr-Cyrl-RS"/>
        </w:rPr>
        <w:t>За специјализоване услуге у 2022. години утрошено је само 40.000 динара (услуге Завода за јавно здравље- санитарни прегледи) и реализација у односу на план износи 39,2%.</w:t>
      </w:r>
    </w:p>
    <w:p>
      <w:pPr>
        <w:jc w:val="both"/>
        <w:rPr>
          <w:lang w:val="sr-Cyrl-RS"/>
        </w:rPr>
      </w:pPr>
      <w:r>
        <w:rPr>
          <w:lang w:val="sr-Cyrl-RS"/>
        </w:rPr>
        <w:t>Текуће поправке и одржавања зграде и опреме- у 2022. години реализовани су трошкови са 78,9% (трошкови су у износу од 671.074 динара) при чему је окречен знатан део простора које користи Центар на другом и трећем спрату за које је у 2022. години трошак од 398.976 динара, а саниран је и степенишни улаз крила зграде где је простор Регионалног центра, као и други трошкови одржавања простора и опреме у Центру (електричне инсталације, механичке поправке аутомобила, тонери за штампаче, сервисирања 24 климе у Центру и други трошкови одржавања).</w:t>
      </w:r>
    </w:p>
    <w:p>
      <w:pPr>
        <w:jc w:val="both"/>
        <w:rPr>
          <w:lang w:val="sr-Cyrl-RS"/>
        </w:rPr>
      </w:pPr>
      <w:r>
        <w:rPr>
          <w:lang w:val="sr-Cyrl-RS"/>
        </w:rPr>
        <w:t>Трошкови укупних материјала за несметан рад Центра са реализацијом других програма ангажовао је средства у износу од 801.234 динара (реализација у односу на план са 69,%) а ту је канцеларијски материјал, материјал за саобраћај-бензин, стручна литература за потребе запослених, хемијска средства за чишћење, пића и храна за организацију разних скупова, као и потрошни и остали материјали за посебне намене.</w:t>
      </w:r>
    </w:p>
    <w:p>
      <w:pPr>
        <w:jc w:val="both"/>
        <w:rPr>
          <w:lang w:val="sr-Cyrl-RS"/>
        </w:rPr>
      </w:pPr>
      <w:r>
        <w:rPr>
          <w:lang w:val="sr-Cyrl-RS"/>
        </w:rPr>
        <w:t>Што се структуре трошкова пореза и такси тиче, ту су само трошкови регистрације возила у износу од  1.602 динара за 2022. годину.</w:t>
      </w:r>
    </w:p>
    <w:p>
      <w:pPr>
        <w:jc w:val="both"/>
        <w:rPr>
          <w:lang w:val="sr-Cyrl-RS"/>
        </w:rPr>
      </w:pPr>
      <w:r>
        <w:rPr>
          <w:lang w:val="sr-Cyrl-RS"/>
        </w:rPr>
        <w:t>За новчане казне и пенале у 2022. години по пресуди суда исплаћени су трошкови странки у поступку- средства у износу од 227.195 динара (претходно извршено умањење по основу претходно исплаћене отпремнине-споразумно решено).</w:t>
      </w:r>
    </w:p>
    <w:p>
      <w:pPr>
        <w:jc w:val="both"/>
        <w:rPr>
          <w:lang w:val="sr-Cyrl-RS"/>
        </w:rPr>
      </w:pPr>
      <w:r>
        <w:rPr>
          <w:lang w:val="sr-Cyrl-RS"/>
        </w:rPr>
        <w:t>За пројектно планирање ЈП Урбанизам Смедерево плаћена су средства за пројекат опремања Научног парка на локацији испред зграде Монопола, кат. парцела града Смедерева у износу од 150.000 динара.</w:t>
      </w:r>
    </w:p>
    <w:p>
      <w:pPr>
        <w:jc w:val="both"/>
        <w:rPr>
          <w:lang w:val="sr-Cyrl-RS"/>
        </w:rPr>
      </w:pPr>
      <w:r>
        <w:rPr>
          <w:lang w:val="sr-Cyrl-RS"/>
        </w:rPr>
        <w:t>За опрему у Центру укупно је извршена набавка у 2022. години у износу од 260.414 динара (канцеларијска фотеља, фискална каса, усисивач, једна клима, један ТВ за апартман, један пројектор, као и рачунарска опрема), а у односу на план реализација је са 59,2%.</w:t>
      </w:r>
    </w:p>
    <w:p>
      <w:pPr>
        <w:jc w:val="both"/>
        <w:rPr>
          <w:lang w:val="sr-Cyrl-RS"/>
        </w:rPr>
      </w:pPr>
      <w:r>
        <w:rPr>
          <w:lang w:val="sr-Cyrl-RS"/>
        </w:rPr>
        <w:t>Код нематеријалне имовине за легализацију програма на рачунарској опреми током 2022. године утрошено је укупно 239.670 динара, што је у односу на план за ове намене реализација од 85,6% (вршена је само легализација и куповина нових програма, док није извршена набавка књига за приручну библиотеку у протеклој години).</w:t>
      </w:r>
    </w:p>
    <w:p>
      <w:pPr>
        <w:ind w:left="720"/>
        <w:jc w:val="both"/>
        <w:rPr>
          <w:lang w:val="sr-Cyrl-RS"/>
        </w:rPr>
      </w:pPr>
    </w:p>
    <w:p>
      <w:pPr>
        <w:ind w:left="720"/>
        <w:jc w:val="both"/>
        <w:rPr>
          <w:lang w:val="sr-Cyrl-RS"/>
        </w:rPr>
      </w:pPr>
    </w:p>
    <w:p>
      <w:pPr>
        <w:pStyle w:val="12"/>
        <w:numPr>
          <w:ilvl w:val="0"/>
          <w:numId w:val="2"/>
        </w:num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ГОДИШЊИ ИЗВЕШТАЈ О УЧИНКУ ПРОГРАМА ЗА 2022. ГОДИНУ</w:t>
      </w:r>
    </w:p>
    <w:p>
      <w:pPr>
        <w:jc w:val="both"/>
        <w:rPr>
          <w:lang w:val="sr-Cyrl-RS"/>
        </w:rPr>
      </w:pPr>
    </w:p>
    <w:p>
      <w:pPr>
        <w:ind w:firstLine="360"/>
        <w:jc w:val="both"/>
        <w:rPr>
          <w:lang w:val="sr-Cyrl-RS"/>
        </w:rPr>
      </w:pPr>
      <w:r>
        <w:rPr>
          <w:lang w:val="sr-Cyrl-RS"/>
        </w:rPr>
        <w:t xml:space="preserve">Регионални центар за професионални развој запослених у образовању Смедерево своју програмску активност реализује као саставни део Буџета града Смедерева </w:t>
      </w:r>
      <w:r>
        <w:t xml:space="preserve"> </w:t>
      </w:r>
      <w:r>
        <w:rPr>
          <w:lang w:val="sr-Cyrl-RS"/>
        </w:rPr>
        <w:t xml:space="preserve"> кроз ПРОГРАМ 10: Средње образовање, Шифра програма 2004 (ПА2004-0012)- Фунционисање установа за стручно усавршавање запослених и Одлуком о буџету Града Смедерева за 2022. годину за наведене активности Центра из средстава Буџета су опредељена средства по другом ребалансу  у износу од </w:t>
      </w:r>
      <w:r>
        <w:rPr>
          <w:lang w:val="sr-Latn-RS"/>
        </w:rPr>
        <w:t>22.528.498</w:t>
      </w:r>
      <w:r>
        <w:rPr>
          <w:lang w:val="sr-Cyrl-RS"/>
        </w:rPr>
        <w:t xml:space="preserve"> динара, а из   пренетих  средства из Републике 798.786  динара, што је укупан износ од 23.327.284 динара.</w:t>
      </w:r>
    </w:p>
    <w:p>
      <w:pPr>
        <w:ind w:firstLine="360"/>
        <w:jc w:val="both"/>
        <w:rPr>
          <w:lang w:val="sr-Cyrl-RS"/>
        </w:rPr>
      </w:pPr>
    </w:p>
    <w:p>
      <w:pPr>
        <w:ind w:firstLine="360"/>
        <w:jc w:val="both"/>
        <w:rPr>
          <w:lang w:val="sr-Cyrl-RS"/>
        </w:rPr>
      </w:pPr>
      <w:r>
        <w:rPr>
          <w:lang w:val="sr-Cyrl-RS"/>
        </w:rPr>
        <w:t>Регионални центар за стручно усавршавање запослених у образовању, своју основну програмску активност усмерава на одржавање акредитованих семинара за стручно усавршавање наставника, васпитача и стручних сарадника, а који су акредитовани и објављени у каталогу Завода за унапређивање образовања и васпитања Београд за период школских 2018/19, 2019/20 и 2020/21, а  који су због пандемије   изазване Ковидом били  у примени и за  школску 2021/2022.  годину, док се акредитација за нов трогодишњи циклус примењује тек од школске године 2022/2023 и наредне две школске године.  Преко Регионалног центра Смедерево у претходном периоду имали смо акредитованих 8 семинара, а у новом циклусу акредитовано је 10 семинара преко Центра, као и један семинар преко Мреже РЦ и ЦСУ.</w:t>
      </w:r>
    </w:p>
    <w:p>
      <w:pPr>
        <w:ind w:firstLine="360"/>
        <w:jc w:val="both"/>
        <w:rPr>
          <w:lang w:val="sr-Cyrl-RS"/>
        </w:rPr>
      </w:pPr>
    </w:p>
    <w:p>
      <w:pPr>
        <w:ind w:firstLine="360"/>
        <w:jc w:val="center"/>
        <w:rPr>
          <w:color w:val="auto"/>
          <w:sz w:val="22"/>
          <w:szCs w:val="22"/>
        </w:rPr>
      </w:pPr>
      <w:r>
        <w:rPr>
          <w:lang w:val="sr-Cyrl-RS"/>
        </w:rPr>
        <w:t xml:space="preserve">Листа </w:t>
      </w:r>
      <w:r>
        <w:rPr>
          <w:color w:val="auto"/>
          <w:sz w:val="22"/>
          <w:szCs w:val="22"/>
        </w:rPr>
        <w:t>одобрених програма сталног стручног усавршавања наставника, васпитача и стручних сарадника за школску 2022/2023, 2023/2024 и 2024/2025. годину</w:t>
      </w:r>
    </w:p>
    <w:p>
      <w:pPr>
        <w:pStyle w:val="19"/>
        <w:jc w:val="center"/>
        <w:rPr>
          <w:color w:val="auto"/>
          <w:sz w:val="22"/>
          <w:szCs w:val="22"/>
        </w:rPr>
      </w:pPr>
    </w:p>
    <w:tbl>
      <w:tblPr>
        <w:tblStyle w:val="3"/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224"/>
        <w:gridCol w:w="241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lang w:val="sr-Cyrl-RS"/>
              </w:rPr>
              <w:t>Кат.бр.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НАЗИВ ПРОГРАМА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КОМПЕТЕНЦИЈА КОЈУ ПРОГРАМ РАЗВИЈА КОД ЦИЉНЕ ГРУПЕ, ПРИОРИТЕТНА ОБЛАСТ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ВРШЊАЧКИ МЕДИЈАТОР У ПРОЦЕСУ НЕНАСИЛНОГ РЕШАВАЊА СУКОБА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К3,К23,П5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shd w:val="clear" w:color="auto" w:fill="FFFFFF"/>
                <w:lang w:val="sr-Cyrl-RS"/>
              </w:rPr>
              <w:t>В</w:t>
            </w:r>
            <w:r>
              <w:rPr>
                <w:shd w:val="clear" w:color="auto" w:fill="FFFFFF"/>
              </w:rPr>
              <w:t>аспитни рад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130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ПРЕВЕНЦИЈА ВРШЊАЧКОГ НАСИЉА ФИЛМОМ И ФИЛМСКОМ АНИМАЦИЈОМ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t>К3, К23</w:t>
            </w:r>
            <w:r>
              <w:rPr>
                <w:lang w:val="sr-Cyrl-RS"/>
              </w:rPr>
              <w:t>,П5</w:t>
            </w:r>
          </w:p>
        </w:tc>
        <w:tc>
          <w:tcPr>
            <w:tcW w:w="2013" w:type="dxa"/>
            <w:shd w:val="clear" w:color="auto" w:fill="auto"/>
          </w:tcPr>
          <w:p>
            <w:r>
              <w:t>Васпитни рад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297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ФИЛМ И ФИЛМСКА АНИМАЦИЈА КАО ИНОВАТИВНО ДИДАКТИЧКО СРЕДСТВО У КУРИКУЛУМУ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К2, П3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Друштвене науке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318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sr-Cyrl-RS"/>
              </w:rPr>
              <w:t>РЕВЕНЦИЈОМ ДО ЗДРАВИХ СТИЛОВА ЖИВОТА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К3, К5, К17, К23</w:t>
            </w:r>
            <w:r>
              <w:rPr>
                <w:lang w:val="sr-Cyrl-RS"/>
              </w:rPr>
              <w:t>, П5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lang w:val="sr-Cyrl-RS"/>
              </w:rPr>
              <w:t>З</w:t>
            </w:r>
            <w:r>
              <w:t>дравствено васпитање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594</w:t>
            </w:r>
            <w:r>
              <w:tab/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sr-Cyrl-RS"/>
              </w:rPr>
              <w:t>ЕЂУПРЕДМЕТНЕ КОМПЕТЕНЦИЈЕ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sr-Cyrl-RS"/>
              </w:rPr>
              <w:t>РАЗВИЈАЊЕ ФУНКЦИОНАЛНИХ ЗНАЊА И ВЕШТИНА КРОЗ НАСТАВУ ПРИРОДНИХ НАУКА И МАТЕМАТИКЕ</w:t>
            </w:r>
          </w:p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К2</w:t>
            </w:r>
            <w:r>
              <w:rPr>
                <w:lang w:val="sr-Cyrl-RS"/>
              </w:rPr>
              <w:t>, П3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lang w:val="sr-Cyrl-RS"/>
              </w:rPr>
              <w:t>О</w:t>
            </w:r>
            <w:r>
              <w:t>пшта питања наставе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</w:tcPr>
          <w:p>
            <w:pPr>
              <w:autoSpaceDE w:val="0"/>
              <w:autoSpaceDN w:val="0"/>
              <w:adjustRightInd w:val="0"/>
            </w:pPr>
            <w:r>
              <w:t>661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ОЦЕНА-ПУТОКАЗ КА НАПРЕТКУ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К2, К23</w:t>
            </w:r>
            <w:r>
              <w:rPr>
                <w:lang w:val="sr-Cyrl-RS"/>
              </w:rPr>
              <w:t>,П2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lang w:val="sr-Cyrl-RS"/>
              </w:rPr>
              <w:t>О</w:t>
            </w:r>
            <w:r>
              <w:t>пшта питања наставе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636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ОБОГАЋЕН ЈЕДНОСМЕНСКИ РАД И ЂАЧКА ЗАДРУГА-БУДУЋНОСТ НАШЕ ШКОЛЕ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К3, К17, К23</w:t>
            </w:r>
            <w:r>
              <w:rPr>
                <w:lang w:val="sr-Cyrl-RS"/>
              </w:rPr>
              <w:t>, П3</w:t>
            </w:r>
          </w:p>
        </w:tc>
        <w:tc>
          <w:tcPr>
            <w:tcW w:w="2013" w:type="dxa"/>
            <w:shd w:val="clear" w:color="auto" w:fill="auto"/>
          </w:tcPr>
          <w:p>
            <w:r>
              <w:t>Општа питања наставе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920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УПРАВЉАЊЕ ПРОЈЕКТИМА ИЗ ОБЛАСТИ ЗАШТИТЕ ЖИВОТНЕ СРЕДИНЕ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t>К2</w:t>
            </w:r>
            <w:r>
              <w:rPr>
                <w:lang w:val="sr-Cyrl-RS"/>
              </w:rPr>
              <w:t>, П4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lang w:val="sr-Cyrl-RS"/>
              </w:rPr>
              <w:t>П</w:t>
            </w:r>
            <w:r>
              <w:t>риродне науке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916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sr-Cyrl-RS"/>
              </w:rPr>
              <w:t>МИЉЕ И БОСИЉЕ- ПОДСТИЦАЈИ ЗА ИНТЕРДИСЦИПЛИНАРНЕ ЧАСОВЕ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tab/>
            </w:r>
            <w:r>
              <w:t>К2</w:t>
            </w:r>
            <w:r>
              <w:rPr>
                <w:lang w:val="sr-Cyrl-RS"/>
              </w:rPr>
              <w:t>, П3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Природне науке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1005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sr-Cyrl-RS"/>
              </w:rPr>
              <w:t xml:space="preserve">ПОТРЕБА РАЧУНАРА У ИНЖЕЊЕРСКОМ ДИЗАЈНУ И ПРОВЕРИ </w:t>
            </w:r>
            <w:r>
              <w:rPr>
                <w:sz w:val="22"/>
                <w:szCs w:val="22"/>
              </w:rPr>
              <w:t xml:space="preserve">(CAD/CAE </w:t>
            </w:r>
            <w:r>
              <w:rPr>
                <w:sz w:val="22"/>
                <w:szCs w:val="22"/>
                <w:lang w:val="sr-Cyrl-RS"/>
              </w:rPr>
              <w:t>КОНЦЕПТ У ЕЛЕКТРОТЕХНИЦИ И МАШИНСТВУ)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tab/>
            </w:r>
            <w:r>
              <w:t>К1</w:t>
            </w:r>
            <w:r>
              <w:rPr>
                <w:lang w:val="sr-Cyrl-RS"/>
              </w:rPr>
              <w:t>, П4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rPr>
                <w:lang w:val="sr-Cyrl-RS"/>
              </w:rPr>
              <w:t>С</w:t>
            </w:r>
            <w:r>
              <w:t>тручни предмети у средњем стручном образовању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2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422</w:t>
            </w:r>
          </w:p>
        </w:tc>
        <w:tc>
          <w:tcPr>
            <w:tcW w:w="422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НАСТАВА МАТЕМАТИКЕ ОРИЈЕНТИСАНА НА ИСХОДЕ-У ПРАКСИ-преко Мреже РЦ иЦСУ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К2,П4</w:t>
            </w:r>
          </w:p>
        </w:tc>
        <w:tc>
          <w:tcPr>
            <w:tcW w:w="20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</w:tbl>
    <w:p>
      <w:pPr>
        <w:ind w:firstLine="360"/>
        <w:jc w:val="both"/>
        <w:rPr>
          <w:lang w:val="sr-Cyrl-RS"/>
        </w:rPr>
      </w:pPr>
    </w:p>
    <w:p>
      <w:pPr>
        <w:ind w:firstLine="360"/>
        <w:jc w:val="both"/>
        <w:rPr>
          <w:lang w:val="sr-Cyrl-RS"/>
        </w:rPr>
      </w:pP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Циљ стручног усавршавања запослених у образовању је да наставни кадар у Смедереву, и у ширем окружењу, добије услове за свој стручни напредак, а уједно и испуни законске обавезе везане за тај процес.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Поред семинара постоје и други видови едукација како за запослене у просвети, тако и у делатностима ван просвете, тако да организујући трибине, стручне скупове, предавања, радионице, округле столове, конференције, саветовања, презентације и многе друге разноврсне догађаје и дешавања постижемо добијање додатних информација и знања.</w:t>
      </w:r>
    </w:p>
    <w:p>
      <w:pPr>
        <w:jc w:val="both"/>
        <w:rPr>
          <w:lang w:val="sr-Cyrl-CS"/>
        </w:rPr>
      </w:pPr>
    </w:p>
    <w:p>
      <w:pPr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 xml:space="preserve">Образложење спровођења програмске активности за </w:t>
      </w:r>
      <w:r>
        <w:rPr>
          <w:b/>
          <w:bCs/>
          <w:u w:val="single"/>
          <w:lang w:val="sr-Cyrl-CS"/>
        </w:rPr>
        <w:t>12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  <w:lang w:val="ru-RU"/>
        </w:rPr>
        <w:t>месеци  202</w:t>
      </w:r>
      <w:r>
        <w:rPr>
          <w:b/>
          <w:bCs/>
          <w:u w:val="single"/>
        </w:rPr>
        <w:t>2</w:t>
      </w:r>
      <w:r>
        <w:rPr>
          <w:b/>
          <w:bCs/>
          <w:u w:val="single"/>
          <w:lang w:val="ru-RU"/>
        </w:rPr>
        <w:t>.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  <w:lang w:val="ru-RU"/>
        </w:rPr>
        <w:t xml:space="preserve">године: </w:t>
      </w:r>
    </w:p>
    <w:p>
      <w:pPr>
        <w:ind w:firstLine="720"/>
        <w:jc w:val="both"/>
        <w:rPr>
          <w:lang w:val="sr-Cyrl-RS"/>
        </w:rPr>
      </w:pPr>
      <w:r>
        <w:rPr>
          <w:lang w:val="sr-Cyrl-CS"/>
        </w:rPr>
        <w:t>У периоду јануар-</w:t>
      </w:r>
      <w:r>
        <w:rPr>
          <w:lang w:val="sr-Cyrl-RS"/>
        </w:rPr>
        <w:t>децембар</w:t>
      </w:r>
      <w:r>
        <w:t xml:space="preserve"> 202</w:t>
      </w:r>
      <w:r>
        <w:rPr>
          <w:lang w:val="sr-Cyrl-RS"/>
        </w:rPr>
        <w:t>2</w:t>
      </w:r>
      <w:r>
        <w:t>.</w:t>
      </w:r>
      <w:r>
        <w:rPr>
          <w:lang w:val="sr-Cyrl-CS"/>
        </w:rPr>
        <w:t xml:space="preserve"> године р</w:t>
      </w:r>
      <w:r>
        <w:t>еализо</w:t>
      </w:r>
      <w:r>
        <w:rPr>
          <w:lang w:val="sr-Cyrl-CS"/>
        </w:rPr>
        <w:t xml:space="preserve">вано је </w:t>
      </w:r>
      <w:r>
        <w:rPr>
          <w:b/>
          <w:lang w:val="sr-Cyrl-CS"/>
        </w:rPr>
        <w:t>укупно</w:t>
      </w:r>
      <w:r>
        <w:rPr>
          <w:b/>
        </w:rPr>
        <w:t xml:space="preserve"> </w:t>
      </w:r>
      <w:r>
        <w:rPr>
          <w:b/>
          <w:lang w:val="sr-Cyrl-RS"/>
        </w:rPr>
        <w:t>31</w:t>
      </w:r>
      <w:r>
        <w:rPr>
          <w:b/>
        </w:rPr>
        <w:t xml:space="preserve"> </w:t>
      </w:r>
      <w:r>
        <w:rPr>
          <w:b/>
          <w:lang w:val="sr-Cyrl-CS"/>
        </w:rPr>
        <w:t>семинар</w:t>
      </w:r>
      <w:r>
        <w:rPr>
          <w:lang w:val="sr-Cyrl-CS"/>
        </w:rPr>
        <w:t xml:space="preserve"> (</w:t>
      </w:r>
      <w:r>
        <w:rPr>
          <w:lang w:val="sr-Cyrl-RS"/>
        </w:rPr>
        <w:t>14</w:t>
      </w:r>
      <w:r>
        <w:rPr>
          <w:lang w:val="sr-Cyrl-CS"/>
        </w:rPr>
        <w:t xml:space="preserve"> семинара одржано је у Регионалном центру-3 дводневна семинара, 1 тродневни и 10 једнодневних семинара; 3 циклуса акредитованог онлајн семинара  од 40 сати преко  Центра „Подршка ученику кроз индивидуализацију и пројектни рад у настави математике“ аутора и реализатора Мирјане Кокерић , </w:t>
      </w:r>
      <w:r>
        <w:t xml:space="preserve">1 </w:t>
      </w:r>
      <w:r>
        <w:rPr>
          <w:lang w:val="sr-Cyrl-RS"/>
        </w:rPr>
        <w:t>дводневни семинар ван центра- у Шапцу, који је акредитован преко Центра „Филм и филмска анимација“, 1 семинар из новог циклуса „Обогаћен једносменски рад и ђачка задруга-будућност наше школе“ у Футогу, 5 семинара ван Центра из новог циклуса „Вршњачки медијатор у процесу ненасилног решавања сукоба“, као и 7 обука -семинара од јавног интереса „Екологиши се“ у школама Подунавског и Браничевског округа).</w:t>
      </w:r>
    </w:p>
    <w:p>
      <w:pPr>
        <w:pStyle w:val="16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извештајном периоду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купно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је одржано 182  различитих облика едукације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. Реализоване су следеће активности: р</w:t>
      </w:r>
      <w:r>
        <w:rPr>
          <w:rFonts w:ascii="Times New Roman" w:hAnsi="Times New Roman" w:cs="Times New Roman"/>
          <w:sz w:val="24"/>
          <w:szCs w:val="24"/>
        </w:rPr>
        <w:t>адиониц</w:t>
      </w:r>
      <w:r>
        <w:rPr>
          <w:rFonts w:ascii="Times New Roman" w:hAnsi="Times New Roman" w:cs="Times New Roman"/>
          <w:sz w:val="24"/>
          <w:szCs w:val="24"/>
          <w:lang w:val="sr-Cyrl-CS"/>
        </w:rPr>
        <w:t>е, изложбе и научни караван</w:t>
      </w:r>
      <w:r>
        <w:rPr>
          <w:rFonts w:ascii="Times New Roman" w:hAnsi="Times New Roman" w:cs="Times New Roman"/>
          <w:sz w:val="24"/>
          <w:szCs w:val="24"/>
        </w:rPr>
        <w:t xml:space="preserve">  Научно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клуб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(27)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учешће на Сајму књига у склопу штанда Центра за промоцију науке,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термина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консултативне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Високом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пословном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Крушевца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сарадња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Агенцијом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безбедност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саобраћаја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уз </w:t>
      </w:r>
      <w:r>
        <w:rPr>
          <w:rFonts w:ascii="Times New Roman" w:hAnsi="Times New Roman" w:cs="Times New Roman"/>
          <w:sz w:val="24"/>
          <w:szCs w:val="24"/>
        </w:rPr>
        <w:t>промо</w:t>
      </w:r>
      <w:r>
        <w:rPr>
          <w:rFonts w:ascii="Times New Roman" w:hAnsi="Times New Roman" w:cs="Times New Roman"/>
          <w:sz w:val="24"/>
          <w:szCs w:val="24"/>
          <w:lang w:val="sr-Cyrl-CS"/>
        </w:rPr>
        <w:t>цију и</w:t>
      </w:r>
      <w:r>
        <w:rPr>
          <w:rFonts w:ascii="Times New Roman" w:hAnsi="Times New Roman" w:cs="Times New Roman"/>
          <w:sz w:val="24"/>
          <w:szCs w:val="24"/>
        </w:rPr>
        <w:t xml:space="preserve"> обу</w:t>
      </w:r>
      <w:r>
        <w:rPr>
          <w:rFonts w:ascii="Times New Roman" w:hAnsi="Times New Roman" w:cs="Times New Roman"/>
          <w:sz w:val="24"/>
          <w:szCs w:val="24"/>
          <w:lang w:val="sr-Cyrl-CS"/>
        </w:rPr>
        <w:t>чавање (четири циклуса обуке у трајању од по 14 дана)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сарадња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академијом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добијеној </w:t>
      </w:r>
      <w:r>
        <w:rPr>
          <w:rFonts w:ascii="Times New Roman" w:hAnsi="Times New Roman" w:cs="Times New Roman"/>
          <w:sz w:val="24"/>
          <w:szCs w:val="24"/>
        </w:rPr>
        <w:t>акредитациј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тестирања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и обуке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запошљавања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кадрове у образовању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обуке (14 термина),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курсеви словеначког јазика (26 термина), одржан је свечани скуп подружнице за српски језик и књижевност „Драгуљи нашег времена-чувари српског језика и књижевности“ 11.06.2022., одржан је састанак за спровођење завршног испита за ученике основних школа 21.06.2022., састанак директора и школске управе пред почетак нове школске године 31. августа 2022. године, као и Актив директора основних и средњих школа 29.11.2022. , одржане су две медицинске обуке за васпитаче, панел дискусија „Позитивно родитељство и заштита деце у случајевима висококонфлитних развода“ 6.04.2022,  трибина „Интегрисани приступ у раду са децом у години пред полазак у школу“ 20.04.2022.,  састанци Синдиката, професионална пракса ученика Економско трговачке школе, часови блок наставе ЕТШ,  обуке привредника, презентација новина везаних за електронско фактурисање, специјална обука за имплементацију Централног информационог система за обрачун зарада у јавном сектору „Искра“, обука за коришћење Касио рачунара, обука васпитача за коришћење Вес-Бот робота,  обука ђака нижих разреда за ВР наочара за безбедност деце у саобраћају (11 термина у периоду 10. фебруар до 14 јуна 2022.  спроведена обука у ОШ града Смедерева где је обуком обухваћено 875 ђака, док је обуку у ОШ „ Др Јован Цвијић „ обуку обавио обучен наставник за 306 ђака). Одржан је семинар синдиката радника грађевинарства и ИГМ 1.јула 2022. године на тему „Професионалне болести-права и обавезе“, као и свечани скуп поводом обележавања Дана грађевинара Србије 8. августа 2022. године, промоције Ерамус плус пројекта Техничке школе из Смедерева „Усаврши се 2019“ 31. августа 2022. године, презентација Ерамус+ пројекта „Не баци, сачувај, рециклирај и креирај“28.10.2022., састанак стручних сарадника који пишу пројекте за Ерамус+ 26.12.2022,  седница савета за социјалну заштиту града Смедерева-презентација „Стања социјалне заштите у Смедереву: стање, налази и препоруке“ 6. августа 2022. године, састанци Ротари клуба и додела награда школама и појединцима, одржана је Осма конференција Ђачких парламената централне Србије 29. септембра 2022. године,  као и друге активности.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Одржана је едукативна радионица „Рад ЦСР са женама жртвама насиља у породици“ 14.10.2022, Шести окружни стручни сусрети „Медицинска сестра васпитач као део заједнице учења и учесник у планирању промена у васпитно-образовној пракси“ 22.10.2022, шеста обука за руководиоце институција које израђују план интегритета у трећем циклусу 30.11.2022, састанак Извршног одбора Друштва учитеља Смедерева 27.12.2022., као и више састанака Подружнице стручних сарадника , обука за наставнике енглеског језика и друге обуке.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Одржана је  Скупштина Мреже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месецу у Регионалном центру Смедерево, присуствовали смо у Ректорату за дан обележавања науке,  док своје активности Регионални центар реализује и одржавањем седница Управног и Надзорног одбора, као и активностима везаних за Мрежу РЦ и ЦСУ (припрема и учествовање на  шестој Конференције за директоре и секретаре установа у образовању „Професионална подршка руководиоцима установа у образовању-актуелности у образовном систему Републике Србије“ од  5-7 октобра 2022. у Врњачкој бањи).</w:t>
      </w:r>
    </w:p>
    <w:p>
      <w:pPr>
        <w:pStyle w:val="16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2022. години Регионални центар за професионални развој запослених је по конкурсу за одобравање програма сталног стручног усавршавања наставника, васпитача и стручних сарадника за школску 2022/23, 2023/24 и 2024/25 годину код Завода за унапређење образовања и васпитања акредитовао 10  семинара  Центра и 1 преко Мреже РЦ и ЦСУ, док је са 3 програма учествовао на Јавном позиву Министарства просвете, науке и технолошког развоја расписаног 29. јула 2022. године за избор организатора, реализатора и програма стручног усавршавања од јавног интереса у 2022. години, а који су значајни за развој компетенција запослених у предшколским установама и основним школама.  Укупно од стране Министарства је одобрено 8 програма , а  уговор је потписан 8. септембра  за  1 одобрени пројекат за Регионални центар Смедерево „Екологиши се“ у износу од 350.000 динара и исти се  реализовао до 31.12.2022. године одржавањем 8 семинара. </w:t>
      </w:r>
    </w:p>
    <w:p>
      <w:pPr>
        <w:pStyle w:val="16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Значајне активности се спроводе преко Научног клуба Смедерево који је обележио 5 година рада, а потписан је Меморандум о сарадњи за наредни петогодишњи период 2021-2026. година.</w:t>
      </w:r>
    </w:p>
    <w:p>
      <w:pPr>
        <w:jc w:val="both"/>
        <w:rPr>
          <w:i/>
        </w:rPr>
      </w:pPr>
      <w:r>
        <w:rPr>
          <w:b/>
          <w:i/>
          <w:lang w:val="sr-Cyrl-RS"/>
        </w:rPr>
        <w:t>Н</w:t>
      </w:r>
      <w:r>
        <w:rPr>
          <w:b/>
          <w:i/>
        </w:rPr>
        <w:t>аучн</w:t>
      </w:r>
      <w:r>
        <w:rPr>
          <w:b/>
          <w:i/>
          <w:lang w:val="sr-Cyrl-RS"/>
        </w:rPr>
        <w:t xml:space="preserve">и </w:t>
      </w:r>
      <w:r>
        <w:rPr>
          <w:b/>
          <w:i/>
        </w:rPr>
        <w:t xml:space="preserve">клуб Смедерево </w:t>
      </w:r>
      <w:r>
        <w:rPr>
          <w:b/>
          <w:i/>
          <w:lang w:val="sr-Cyrl-RS"/>
        </w:rPr>
        <w:t xml:space="preserve">учествовао је </w:t>
      </w:r>
      <w:r>
        <w:rPr>
          <w:b/>
          <w:i/>
        </w:rPr>
        <w:t>на Јавном позиву Центра за промоцију науке,</w:t>
      </w:r>
      <w:r>
        <w:rPr>
          <w:b/>
          <w:i/>
          <w:lang w:val="sr-Cyrl-RS"/>
        </w:rPr>
        <w:t xml:space="preserve"> Београд, за доделу средстава за реализацију пројеката промоције и популаризације науке у 20</w:t>
      </w:r>
      <w:r>
        <w:rPr>
          <w:b/>
          <w:i/>
        </w:rPr>
        <w:t>2</w:t>
      </w:r>
      <w:r>
        <w:rPr>
          <w:b/>
          <w:i/>
          <w:lang w:val="sr-Cyrl-RS"/>
        </w:rPr>
        <w:t>2. години</w:t>
      </w:r>
      <w:r>
        <w:rPr>
          <w:i/>
        </w:rPr>
        <w:t>.</w:t>
      </w:r>
      <w:r>
        <w:rPr>
          <w:i/>
          <w:lang w:val="sr-Cyrl-RS"/>
        </w:rPr>
        <w:t xml:space="preserve"> У сарадњи са НК Крагујевац, НК Смедерево  учествује у одобреним  пројектима „Декодирањем кроз Рим“ чија је реализација у периоду 1.09. 2022. до 1.12.2023. године, и „Математика и физика, са машницом“ која се планира за реализацију од 1.01.2023. до 15.06. 2023. године.</w:t>
      </w:r>
    </w:p>
    <w:p>
      <w:pPr>
        <w:jc w:val="both"/>
        <w:rPr>
          <w:i/>
          <w:lang w:val="sr-Cyrl-RS"/>
        </w:rPr>
      </w:pPr>
      <w:r>
        <w:rPr>
          <w:b/>
          <w:i/>
        </w:rPr>
        <w:t xml:space="preserve"> </w:t>
      </w:r>
      <w:r>
        <w:rPr>
          <w:b/>
          <w:i/>
          <w:lang w:val="sr-Cyrl-RS"/>
        </w:rPr>
        <w:t>Н</w:t>
      </w:r>
      <w:r>
        <w:rPr>
          <w:b/>
          <w:i/>
        </w:rPr>
        <w:t>аучн</w:t>
      </w:r>
      <w:r>
        <w:rPr>
          <w:b/>
          <w:i/>
          <w:lang w:val="sr-Cyrl-RS"/>
        </w:rPr>
        <w:t xml:space="preserve">и </w:t>
      </w:r>
      <w:r>
        <w:rPr>
          <w:b/>
          <w:i/>
        </w:rPr>
        <w:t xml:space="preserve">клуб Смедерево </w:t>
      </w:r>
      <w:r>
        <w:rPr>
          <w:b/>
          <w:i/>
          <w:lang w:val="sr-Cyrl-RS"/>
        </w:rPr>
        <w:t xml:space="preserve">учествовао је </w:t>
      </w:r>
      <w:r>
        <w:rPr>
          <w:b/>
          <w:i/>
        </w:rPr>
        <w:t xml:space="preserve"> </w:t>
      </w:r>
      <w:r>
        <w:rPr>
          <w:b/>
          <w:i/>
          <w:lang w:val="sr-Cyrl-RS"/>
        </w:rPr>
        <w:t xml:space="preserve">и на </w:t>
      </w:r>
      <w:r>
        <w:rPr>
          <w:b/>
          <w:i/>
        </w:rPr>
        <w:t xml:space="preserve">Јавном позиву </w:t>
      </w:r>
      <w:r>
        <w:rPr>
          <w:b/>
          <w:i/>
          <w:lang w:val="sr-Cyrl-RS"/>
        </w:rPr>
        <w:t xml:space="preserve">Центра за промоцију науке, Београд, </w:t>
      </w:r>
      <w:r>
        <w:rPr>
          <w:b/>
          <w:i/>
        </w:rPr>
        <w:t xml:space="preserve">за </w:t>
      </w:r>
      <w:r>
        <w:rPr>
          <w:b/>
          <w:i/>
          <w:lang w:val="sr-Cyrl-RS"/>
        </w:rPr>
        <w:t xml:space="preserve">доделу средстава за </w:t>
      </w:r>
      <w:r>
        <w:rPr>
          <w:b/>
          <w:i/>
        </w:rPr>
        <w:t xml:space="preserve">Годишњи програм </w:t>
      </w:r>
      <w:r>
        <w:rPr>
          <w:b/>
          <w:i/>
          <w:lang w:val="sr-Cyrl-RS"/>
        </w:rPr>
        <w:t>Научног клуба Смедерево</w:t>
      </w:r>
      <w:r>
        <w:rPr>
          <w:b/>
          <w:i/>
        </w:rPr>
        <w:t xml:space="preserve"> за 202</w:t>
      </w:r>
      <w:r>
        <w:rPr>
          <w:b/>
          <w:i/>
          <w:lang w:val="sr-Cyrl-RS"/>
        </w:rPr>
        <w:t>2/20223.</w:t>
      </w:r>
      <w:r>
        <w:rPr>
          <w:b/>
          <w:i/>
        </w:rPr>
        <w:t xml:space="preserve"> годину.</w:t>
      </w:r>
      <w:r>
        <w:rPr>
          <w:b/>
          <w:i/>
          <w:lang w:val="sr-Cyrl-RS"/>
        </w:rPr>
        <w:t xml:space="preserve"> </w:t>
      </w:r>
      <w:r>
        <w:rPr>
          <w:i/>
          <w:lang w:val="sr-Cyrl-RS"/>
        </w:rPr>
        <w:t>Годишњи п</w:t>
      </w:r>
      <w:r>
        <w:rPr>
          <w:i/>
        </w:rPr>
        <w:t xml:space="preserve">рограм </w:t>
      </w:r>
      <w:r>
        <w:rPr>
          <w:i/>
          <w:lang w:val="sr-Cyrl-RS"/>
        </w:rPr>
        <w:t xml:space="preserve">Научног клуба Смедерево </w:t>
      </w:r>
      <w:r>
        <w:rPr>
          <w:i/>
        </w:rPr>
        <w:t>за 202</w:t>
      </w:r>
      <w:r>
        <w:rPr>
          <w:i/>
          <w:lang w:val="sr-Cyrl-RS"/>
        </w:rPr>
        <w:t>2/2023.</w:t>
      </w:r>
      <w:r>
        <w:rPr>
          <w:i/>
        </w:rPr>
        <w:t xml:space="preserve"> годину</w:t>
      </w:r>
      <w:r>
        <w:rPr>
          <w:i/>
          <w:lang w:val="sr-Cyrl-RS"/>
        </w:rPr>
        <w:t xml:space="preserve"> о</w:t>
      </w:r>
      <w:r>
        <w:rPr>
          <w:i/>
        </w:rPr>
        <w:t xml:space="preserve">добрен </w:t>
      </w:r>
      <w:r>
        <w:rPr>
          <w:i/>
          <w:lang w:val="sr-Cyrl-RS"/>
        </w:rPr>
        <w:t xml:space="preserve">је </w:t>
      </w:r>
      <w:r>
        <w:rPr>
          <w:i/>
        </w:rPr>
        <w:t>од стране Центра за промоцију науке</w:t>
      </w:r>
      <w:r>
        <w:rPr>
          <w:i/>
          <w:lang w:val="sr-Cyrl-RS"/>
        </w:rPr>
        <w:t xml:space="preserve"> у износу од 170.000 динара. Листа Годишњег програма садржи </w:t>
      </w:r>
      <w:r>
        <w:rPr>
          <w:i/>
        </w:rPr>
        <w:t>8 пројеката</w:t>
      </w:r>
      <w:r>
        <w:rPr>
          <w:i/>
          <w:lang w:val="sr-Cyrl-RS"/>
        </w:rPr>
        <w:t xml:space="preserve">, који се реализује у периоду од </w:t>
      </w:r>
      <w:r>
        <w:rPr>
          <w:i/>
        </w:rPr>
        <w:t>01.09. 202</w:t>
      </w:r>
      <w:r>
        <w:rPr>
          <w:i/>
          <w:lang w:val="sr-Cyrl-RS"/>
        </w:rPr>
        <w:t>2</w:t>
      </w:r>
      <w:r>
        <w:rPr>
          <w:i/>
        </w:rPr>
        <w:t>. до 01. 09. 202</w:t>
      </w:r>
      <w:r>
        <w:rPr>
          <w:i/>
          <w:lang w:val="sr-Cyrl-RS"/>
        </w:rPr>
        <w:t>3</w:t>
      </w:r>
      <w:r>
        <w:rPr>
          <w:i/>
        </w:rPr>
        <w:t xml:space="preserve">. </w:t>
      </w:r>
      <w:r>
        <w:rPr>
          <w:i/>
          <w:lang w:val="sr-Cyrl-RS"/>
        </w:rPr>
        <w:t>г</w:t>
      </w:r>
      <w:r>
        <w:rPr>
          <w:i/>
        </w:rPr>
        <w:t>одине</w:t>
      </w:r>
      <w:r>
        <w:rPr>
          <w:i/>
          <w:lang w:val="sr-Cyrl-RS"/>
        </w:rPr>
        <w:t>:</w:t>
      </w:r>
    </w:p>
    <w:p>
      <w:pPr>
        <w:numPr>
          <w:ilvl w:val="0"/>
          <w:numId w:val="3"/>
        </w:numPr>
        <w:rPr>
          <w:rStyle w:val="21"/>
          <w:b w:val="0"/>
          <w:i/>
          <w:lang w:val="sr-Cyrl-RS"/>
        </w:rPr>
      </w:pPr>
      <w:r>
        <w:rPr>
          <w:rStyle w:val="21"/>
          <w:b w:val="0"/>
          <w:i/>
          <w:lang w:val="sr-Cyrl-RS"/>
        </w:rPr>
        <w:t>Бесконачно у науци и уметности-аутор и реализатор Мирјана Кокерић</w:t>
      </w:r>
    </w:p>
    <w:p>
      <w:pPr>
        <w:numPr>
          <w:ilvl w:val="0"/>
          <w:numId w:val="3"/>
        </w:numPr>
        <w:rPr>
          <w:rStyle w:val="21"/>
          <w:b w:val="0"/>
          <w:bCs w:val="0"/>
          <w:i/>
        </w:rPr>
      </w:pPr>
      <w:r>
        <w:rPr>
          <w:rStyle w:val="21"/>
          <w:b w:val="0"/>
          <w:i/>
          <w:lang w:val="sr-Cyrl-RS"/>
        </w:rPr>
        <w:t>С микробитом у научној акцији – аутори и реализатори Мирјана Кокерић и Синиша Ћулафић</w:t>
      </w:r>
    </w:p>
    <w:p>
      <w:pPr>
        <w:numPr>
          <w:ilvl w:val="0"/>
          <w:numId w:val="3"/>
        </w:numPr>
        <w:rPr>
          <w:rStyle w:val="21"/>
          <w:b w:val="0"/>
          <w:bCs w:val="0"/>
          <w:i/>
        </w:rPr>
      </w:pPr>
      <w:r>
        <w:rPr>
          <w:rStyle w:val="21"/>
          <w:b w:val="0"/>
          <w:i/>
          <w:lang w:val="sr-Cyrl-RS"/>
        </w:rPr>
        <w:t>Арт-е-Матика-аутор и реализатор Мирјана Кокерић</w:t>
      </w:r>
    </w:p>
    <w:p>
      <w:pPr>
        <w:numPr>
          <w:ilvl w:val="0"/>
          <w:numId w:val="3"/>
        </w:numPr>
        <w:rPr>
          <w:rStyle w:val="21"/>
          <w:b w:val="0"/>
          <w:bCs w:val="0"/>
          <w:i/>
        </w:rPr>
      </w:pPr>
      <w:r>
        <w:rPr>
          <w:rStyle w:val="21"/>
          <w:b w:val="0"/>
          <w:i/>
          <w:lang w:val="sr-Cyrl-RS"/>
        </w:rPr>
        <w:t>Ловци на благо- аутори и реализатори Марина Златановић, Емилија Ђорђевић, Исидора Ђорђевић и Јасмина Илић</w:t>
      </w:r>
    </w:p>
    <w:p>
      <w:pPr>
        <w:numPr>
          <w:ilvl w:val="0"/>
          <w:numId w:val="3"/>
        </w:numPr>
        <w:rPr>
          <w:rStyle w:val="21"/>
          <w:b w:val="0"/>
          <w:bCs w:val="0"/>
          <w:i/>
        </w:rPr>
      </w:pPr>
      <w:r>
        <w:rPr>
          <w:rStyle w:val="21"/>
          <w:b w:val="0"/>
          <w:i/>
          <w:lang w:val="sr-Cyrl-RS"/>
        </w:rPr>
        <w:t>Да наука прозуји! - аутори и реализатори Марина Златановић, Емилија Ђорђевић, Исидора Ђорђевић и Јасмина Илић</w:t>
      </w:r>
    </w:p>
    <w:p>
      <w:pPr>
        <w:numPr>
          <w:ilvl w:val="0"/>
          <w:numId w:val="3"/>
        </w:numPr>
        <w:rPr>
          <w:rStyle w:val="20"/>
          <w:i/>
        </w:rPr>
      </w:pPr>
      <w:r>
        <w:rPr>
          <w:rStyle w:val="20"/>
          <w:i/>
          <w:lang w:val="sr-Cyrl-RS"/>
        </w:rPr>
        <w:t>Необична игра и чудесна моћ светлости-аутор и реализатор Слађана Доброта</w:t>
      </w:r>
    </w:p>
    <w:p>
      <w:pPr>
        <w:numPr>
          <w:ilvl w:val="0"/>
          <w:numId w:val="3"/>
        </w:numPr>
        <w:rPr>
          <w:rStyle w:val="20"/>
          <w:i/>
        </w:rPr>
      </w:pPr>
      <w:r>
        <w:rPr>
          <w:rStyle w:val="20"/>
          <w:i/>
          <w:lang w:val="sr-Cyrl-RS"/>
        </w:rPr>
        <w:t>Природни материјали, употребна вредност кроз развој цивилизације-аутор и реализатор Слађана Доброта и</w:t>
      </w:r>
    </w:p>
    <w:p>
      <w:pPr>
        <w:numPr>
          <w:ilvl w:val="0"/>
          <w:numId w:val="3"/>
        </w:numPr>
        <w:rPr>
          <w:rStyle w:val="20"/>
          <w:i/>
        </w:rPr>
      </w:pPr>
      <w:r>
        <w:rPr>
          <w:rStyle w:val="20"/>
          <w:i/>
          <w:lang w:val="sr-Cyrl-RS"/>
        </w:rPr>
        <w:t>Основци и архивистика- аутори и реализатори Тијана Ђокић, Данијела Милошевић, Нада Мирић, Наташа Голубовић и Весна Симић</w:t>
      </w:r>
    </w:p>
    <w:p>
      <w:pPr>
        <w:pStyle w:val="19"/>
        <w:spacing w:line="276" w:lineRule="auto"/>
        <w:jc w:val="both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/>
          <w:i/>
        </w:rPr>
        <w:t xml:space="preserve"> Манифестација </w:t>
      </w:r>
      <w:r>
        <w:rPr>
          <w:rFonts w:ascii="Times New Roman" w:hAnsi="Times New Roman" w:cs="Times New Roman"/>
          <w:b/>
          <w:i/>
          <w:lang w:val="sr-Cyrl-RS"/>
        </w:rPr>
        <w:t>„</w:t>
      </w:r>
      <w:r>
        <w:rPr>
          <w:rFonts w:ascii="Times New Roman" w:hAnsi="Times New Roman" w:cs="Times New Roman"/>
          <w:b/>
          <w:i/>
        </w:rPr>
        <w:t>Мај месец математике</w:t>
      </w:r>
      <w:r>
        <w:rPr>
          <w:rFonts w:ascii="Times New Roman" w:hAnsi="Times New Roman" w:cs="Times New Roman"/>
          <w:b/>
          <w:i/>
          <w:lang w:val="sr-Cyrl-RS"/>
        </w:rPr>
        <w:t>“</w:t>
      </w:r>
      <w:r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sr-Cyrl-RS"/>
        </w:rPr>
        <w:t xml:space="preserve">одржана је </w:t>
      </w:r>
      <w:r>
        <w:rPr>
          <w:rFonts w:ascii="Times New Roman" w:hAnsi="Times New Roman" w:cs="Times New Roman"/>
          <w:i/>
        </w:rPr>
        <w:t xml:space="preserve">од </w:t>
      </w:r>
      <w:r>
        <w:rPr>
          <w:rFonts w:ascii="Times New Roman" w:hAnsi="Times New Roman" w:cs="Times New Roman"/>
          <w:i/>
          <w:lang w:val="sr-Cyrl-RS"/>
        </w:rPr>
        <w:t>4</w:t>
      </w:r>
      <w:r>
        <w:rPr>
          <w:rFonts w:ascii="Times New Roman" w:hAnsi="Times New Roman" w:cs="Times New Roman"/>
          <w:i/>
        </w:rPr>
        <w:t>.05.202</w:t>
      </w:r>
      <w:r>
        <w:rPr>
          <w:rFonts w:ascii="Times New Roman" w:hAnsi="Times New Roman" w:cs="Times New Roman"/>
          <w:i/>
          <w:lang w:val="sr-Cyrl-RS"/>
        </w:rPr>
        <w:t>2</w:t>
      </w:r>
      <w:r>
        <w:rPr>
          <w:rFonts w:ascii="Times New Roman" w:hAnsi="Times New Roman" w:cs="Times New Roman"/>
          <w:i/>
        </w:rPr>
        <w:t xml:space="preserve">. до </w:t>
      </w:r>
      <w:r>
        <w:rPr>
          <w:rFonts w:ascii="Times New Roman" w:hAnsi="Times New Roman" w:cs="Times New Roman"/>
          <w:i/>
          <w:lang w:val="sr-Cyrl-RS"/>
        </w:rPr>
        <w:t>18</w:t>
      </w:r>
      <w:r>
        <w:rPr>
          <w:rFonts w:ascii="Times New Roman" w:hAnsi="Times New Roman" w:cs="Times New Roman"/>
          <w:i/>
        </w:rPr>
        <w:t>.06.202</w:t>
      </w:r>
      <w:r>
        <w:rPr>
          <w:rFonts w:ascii="Times New Roman" w:hAnsi="Times New Roman" w:cs="Times New Roman"/>
          <w:i/>
          <w:lang w:val="sr-Cyrl-RS"/>
        </w:rPr>
        <w:t>2</w:t>
      </w:r>
      <w:r>
        <w:rPr>
          <w:rFonts w:ascii="Times New Roman" w:hAnsi="Times New Roman" w:cs="Times New Roman"/>
          <w:i/>
        </w:rPr>
        <w:t xml:space="preserve">. године, у оквиру које су </w:t>
      </w:r>
      <w:r>
        <w:rPr>
          <w:rFonts w:ascii="Times New Roman" w:hAnsi="Times New Roman" w:cs="Times New Roman"/>
          <w:i/>
          <w:lang w:val="sr-Cyrl-RS"/>
        </w:rPr>
        <w:t xml:space="preserve">реализоване </w:t>
      </w:r>
      <w:r>
        <w:rPr>
          <w:rFonts w:ascii="Times New Roman" w:hAnsi="Times New Roman" w:cs="Times New Roman"/>
          <w:i/>
        </w:rPr>
        <w:t xml:space="preserve">: </w:t>
      </w:r>
    </w:p>
    <w:p>
      <w:pPr>
        <w:pStyle w:val="1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3 радионице пројекта „Причање математичке приче“ одржане 10, 17  и 31 маја 2022.</w:t>
      </w:r>
    </w:p>
    <w:p>
      <w:pPr>
        <w:pStyle w:val="1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Државно првенство средњих школа  математичара у Центру 21. маја 2022.</w:t>
      </w:r>
    </w:p>
    <w:p>
      <w:pPr>
        <w:pStyle w:val="1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Научни  караван 50 учесника (наставника, професора и ђака основних и средњих школа) одлазак у Београд на локацију Силоса са бројним радионицама из области математике и програмирања</w:t>
      </w:r>
    </w:p>
    <w:p>
      <w:pPr>
        <w:pStyle w:val="1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Поставка изложбе у холу центра „Математика око света“ у периоду од 4 маја до 12. маја 2022. године коју су посетили 3 групе ђака смедеревских школа</w:t>
      </w:r>
    </w:p>
    <w:p>
      <w:pPr>
        <w:pStyle w:val="16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Семинар „Метакогнитивни приступ и визуализација у настави математике, математичко моделовање“18.06.2022.</w:t>
      </w:r>
    </w:p>
    <w:p>
      <w:pPr>
        <w:pStyle w:val="16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Завршен је пројекат и одабрана локација за партнерно уређење за изградњу Научног парка у Смедереву на грађевинској парцели испред зграде „Монопола“ бр. 736 чији је власник град Смедерево, те и наведена инвестиција треба да се реализује преко града у овој години.</w:t>
      </w:r>
    </w:p>
    <w:p>
      <w:pPr>
        <w:ind w:firstLine="720"/>
        <w:jc w:val="both"/>
        <w:rPr>
          <w:bCs/>
          <w:lang w:val="sr-Cyrl-RS"/>
        </w:rPr>
      </w:pPr>
      <w:r>
        <w:rPr>
          <w:bCs/>
          <w:lang w:val="sr-Cyrl-CS"/>
        </w:rPr>
        <w:t xml:space="preserve"> </w:t>
      </w:r>
      <w:r>
        <w:rPr>
          <w:bCs/>
          <w:lang w:val="sr-Cyrl-RS"/>
        </w:rPr>
        <w:t>У</w:t>
      </w:r>
      <w:r>
        <w:rPr>
          <w:bCs/>
        </w:rPr>
        <w:t>кључе</w:t>
      </w:r>
      <w:r>
        <w:rPr>
          <w:bCs/>
          <w:lang w:val="sr-Cyrl-RS"/>
        </w:rPr>
        <w:t>ње</w:t>
      </w:r>
      <w:r>
        <w:rPr>
          <w:bCs/>
          <w:lang w:val="sr-Cyrl-CS"/>
        </w:rPr>
        <w:t xml:space="preserve"> </w:t>
      </w:r>
      <w:r>
        <w:rPr>
          <w:bCs/>
        </w:rPr>
        <w:t>појединаца у неформално</w:t>
      </w:r>
      <w:r>
        <w:rPr>
          <w:bCs/>
          <w:lang w:val="sr-Cyrl-CS"/>
        </w:rPr>
        <w:t xml:space="preserve"> </w:t>
      </w:r>
      <w:r>
        <w:rPr>
          <w:bCs/>
        </w:rPr>
        <w:t>образовањ</w:t>
      </w:r>
      <w:r>
        <w:rPr>
          <w:bCs/>
          <w:lang w:val="sr-Cyrl-CS"/>
        </w:rPr>
        <w:t xml:space="preserve">е одраслих </w:t>
      </w:r>
      <w:r>
        <w:rPr>
          <w:bCs/>
          <w:lang w:val="sr-Cyrl-RS"/>
        </w:rPr>
        <w:t xml:space="preserve">  је обустављена, јер Регионални центар за професионални развој запослених у образовању нема решење о верификацији надлежног органа у складу са чланом 39. Закона о националном оквиру квалификација, тј. не поседујемо одобрење и статус јавно признатог организатора активности образовања одраслих.</w:t>
      </w:r>
    </w:p>
    <w:p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>На пољу смештајних капацитета</w:t>
      </w:r>
      <w:r>
        <w:rPr>
          <w:bCs/>
        </w:rPr>
        <w:t>,</w:t>
      </w:r>
      <w:r>
        <w:rPr>
          <w:bCs/>
          <w:lang w:val="sr-Cyrl-CS"/>
        </w:rPr>
        <w:t xml:space="preserve"> у </w:t>
      </w:r>
      <w:r>
        <w:rPr>
          <w:bCs/>
          <w:lang w:val="ru-RU"/>
        </w:rPr>
        <w:t>извештајном периоду за период јануар-</w:t>
      </w:r>
      <w:r>
        <w:rPr>
          <w:bCs/>
          <w:lang w:val="sr-Cyrl-RS"/>
        </w:rPr>
        <w:t>децембар</w:t>
      </w:r>
      <w:r>
        <w:rPr>
          <w:bCs/>
          <w:lang w:val="ru-RU"/>
        </w:rPr>
        <w:t xml:space="preserve"> 2022. </w:t>
      </w:r>
      <w:r>
        <w:rPr>
          <w:bCs/>
        </w:rPr>
        <w:t>г</w:t>
      </w:r>
      <w:r>
        <w:rPr>
          <w:bCs/>
          <w:lang w:val="ru-RU"/>
        </w:rPr>
        <w:t>одине</w:t>
      </w:r>
      <w:r>
        <w:rPr>
          <w:bCs/>
        </w:rPr>
        <w:t>,</w:t>
      </w:r>
      <w:r>
        <w:rPr>
          <w:bCs/>
          <w:lang w:val="ru-RU"/>
        </w:rPr>
        <w:t xml:space="preserve"> реализовано је укупно 523 преноћишта за 170 особа, смештај за организацију скупштине Мреже РЦ и ЦСУ, смештај предавача за вишедневне семинаре у центру, смештај 3 учесника из Црне Горе за сусрете особа са инвалидитетом, смештај спортиста за традиционални турнир рукометаша у Смедереву, смештај најбољих ученика и наставника из 6 источно-херцеговачких општина поводом 15. септембра Дана српског јединства, слободе и националне заставе који су били у посети Републици Србији, смештај за Смедеревку јесен и смештај учесника и организатора за манифестацију  «Витезови и легенде» која се традиционално одржава у Смедеревској тврђави у септембру месецу, смештај за Смедеревску песничку јесен и смештај синдиката полиције ИПА.</w:t>
      </w:r>
    </w:p>
    <w:p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>У оквиру промоције науке, обелажава се «Ноћ истраживача», који је по плану задње недеље у септембру месецу 2022. године и ову манифестацију Центар је обележио пројектима и радионицама у периоду од 26.09. до 30.09.2022. год. («Необична игра и чудесна моћ светлости»,»Бесконачно у науци и уметности», «Арт-е-Матика», «С микробитом у научној акцији» и «Ловци на благо») кроз реализацију одобраног годишњег програма рада Научног клуба  и делом финансирањем   средствима Центра, јер за ову манифестацију су изостала  наменска средства Центра за промоцију науке Београд за 2022. годину.</w:t>
      </w:r>
    </w:p>
    <w:p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>У оквиру годишњег програма Научног клуба Смедерево за 2022/2023. годину одржано је још 5 радионица и то: три радионице «Основци и архивистика» 17. октобра, 2. новембра и 28. децембра, друга радионица пројекта «Бесконачно у науци и уметности»  и друга радионица пројекта «Арт-е-Матика» 1. децембра  2022. године, а у сарадњи са ОШ «Свети Сава» из Смедерева биле су активности у част Дана примирја 11. новембра, као и посматрање делимичног помрачење Сунца 25. октобра 2022. године.</w:t>
      </w:r>
    </w:p>
    <w:p>
      <w:pPr>
        <w:ind w:firstLine="720"/>
        <w:jc w:val="both"/>
        <w:rPr>
          <w:lang w:val="sr-Cyrl-CS"/>
        </w:rPr>
      </w:pPr>
    </w:p>
    <w:tbl>
      <w:tblPr>
        <w:tblStyle w:val="3"/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402"/>
        <w:gridCol w:w="1418"/>
        <w:gridCol w:w="1417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>ЦИЉ</w:t>
            </w:r>
            <w:r>
              <w:rPr>
                <w:b/>
                <w:bCs/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</w:rPr>
              <w:t xml:space="preserve"> Функционисање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</w:rPr>
              <w:t>Регионалн</w:t>
            </w:r>
            <w:r>
              <w:rPr>
                <w:bCs/>
                <w:sz w:val="20"/>
                <w:szCs w:val="20"/>
                <w:lang w:val="sr-Cyrl-CS"/>
              </w:rPr>
              <w:t xml:space="preserve">ог </w:t>
            </w:r>
            <w:r>
              <w:rPr>
                <w:bCs/>
                <w:sz w:val="20"/>
                <w:szCs w:val="20"/>
              </w:rPr>
              <w:t>центра</w:t>
            </w:r>
            <w:r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</w:rPr>
              <w:t>за</w:t>
            </w:r>
            <w:r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</w:rPr>
              <w:t>професионални</w:t>
            </w:r>
            <w:r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</w:rPr>
              <w:t>развој</w:t>
            </w:r>
            <w:r>
              <w:rPr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bCs/>
                <w:sz w:val="20"/>
                <w:szCs w:val="20"/>
              </w:rPr>
              <w:t>запослених у образовању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</w:rPr>
              <w:t>ИНДИКАТОР</w:t>
            </w:r>
            <w:r>
              <w:rPr>
                <w:b/>
                <w:bCs/>
                <w:sz w:val="20"/>
                <w:szCs w:val="20"/>
                <w:lang w:val="sr-Cyrl-CS"/>
              </w:rPr>
              <w:t>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Oстварена</w:t>
            </w:r>
          </w:p>
          <w:p>
            <w:pPr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вредност</w:t>
            </w:r>
            <w:r>
              <w:rPr>
                <w:b/>
                <w:sz w:val="20"/>
                <w:szCs w:val="20"/>
                <w:lang w:val="sr-Cyrl-CS"/>
              </w:rPr>
              <w:t xml:space="preserve"> у базној години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(2021</w:t>
            </w:r>
            <w:r>
              <w:rPr>
                <w:b/>
                <w:bCs/>
                <w:sz w:val="20"/>
                <w:szCs w:val="20"/>
                <w:lang w:val="sr-Cyrl-RS"/>
              </w:rPr>
              <w:t>)-из годишњег извештаја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Циљана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вредност</w:t>
            </w:r>
            <w:r>
              <w:rPr>
                <w:sz w:val="20"/>
                <w:szCs w:val="20"/>
                <w:lang w:val="sr-Cyrl-CS"/>
              </w:rPr>
              <w:t xml:space="preserve"> за </w:t>
            </w:r>
            <w:r>
              <w:rPr>
                <w:b/>
                <w:sz w:val="20"/>
                <w:szCs w:val="20"/>
                <w:lang w:val="sr-Cyrl-CS"/>
              </w:rPr>
              <w:t>2022.</w:t>
            </w:r>
            <w:r>
              <w:rPr>
                <w:sz w:val="20"/>
                <w:szCs w:val="20"/>
                <w:lang w:val="sr-Cyrl-CS"/>
              </w:rPr>
              <w:t xml:space="preserve"> Годину-из програма рада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Реализована </w:t>
            </w:r>
            <w:r>
              <w:rPr>
                <w:sz w:val="20"/>
                <w:szCs w:val="20"/>
              </w:rPr>
              <w:t>вредност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за </w:t>
            </w:r>
            <w:r>
              <w:rPr>
                <w:b/>
                <w:bCs/>
                <w:sz w:val="20"/>
                <w:szCs w:val="20"/>
                <w:lang w:val="sr-Cyrl-RS"/>
              </w:rPr>
              <w:t>12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месеци (20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sr-Cyrl-RS"/>
              </w:rPr>
              <w:t>2</w:t>
            </w:r>
            <w:r>
              <w:rPr>
                <w:b/>
                <w:bCs/>
                <w:sz w:val="20"/>
                <w:szCs w:val="20"/>
                <w:lang w:val="sr-Cyrl-CS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Cs/>
              </w:rPr>
            </w:pPr>
            <w:r>
              <w:rPr>
                <w:bCs/>
                <w:lang w:val="sr-Cyrl-CS"/>
              </w:rPr>
              <w:t>Број с</w:t>
            </w:r>
            <w:r>
              <w:rPr>
                <w:bCs/>
              </w:rPr>
              <w:t>еминар</w:t>
            </w:r>
            <w:r>
              <w:rPr>
                <w:bCs/>
                <w:lang w:val="sr-Cyrl-CS"/>
              </w:rPr>
              <w:t xml:space="preserve">а </w:t>
            </w:r>
            <w:r>
              <w:rPr>
                <w:bCs/>
              </w:rPr>
              <w:t>за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стручно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усавршавање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наставника, васпитача и стручних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сарадника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lang w:val="sr-Cyrl-CS"/>
              </w:rPr>
            </w:pPr>
            <w:r>
              <w:rPr>
                <w:lang w:val="sr-Cyrl-CS"/>
              </w:rPr>
              <w:t>Број различитих облика  едукације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 xml:space="preserve"> Број п</w:t>
            </w:r>
            <w:r>
              <w:rPr>
                <w:bCs/>
              </w:rPr>
              <w:t>реноћишт</w:t>
            </w:r>
            <w:r>
              <w:rPr>
                <w:bCs/>
                <w:lang w:val="sr-Cyrl-CS"/>
              </w:rPr>
              <w:t>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845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Cs/>
              </w:rPr>
            </w:pPr>
            <w:r>
              <w:rPr>
                <w:bCs/>
                <w:lang w:val="sr-Cyrl-CS"/>
              </w:rPr>
              <w:t xml:space="preserve"> Број </w:t>
            </w:r>
            <w:r>
              <w:rPr>
                <w:bCs/>
              </w:rPr>
              <w:t>Обук</w:t>
            </w:r>
            <w:r>
              <w:rPr>
                <w:bCs/>
                <w:lang w:val="sr-Cyrl-CS"/>
              </w:rPr>
              <w:t>а</w:t>
            </w:r>
            <w:r>
              <w:rPr>
                <w:bCs/>
              </w:rPr>
              <w:t>/курсеви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за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неформално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образовање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одраслих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Промоција науке „Ноћ истраживача“ и других радионица и програма у оквиру Научног клуба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 xml:space="preserve">Извор верификације: </w:t>
            </w:r>
            <w:r>
              <w:rPr>
                <w:lang w:val="sr-Cyrl-CS"/>
              </w:rPr>
              <w:t>И</w:t>
            </w:r>
            <w:r>
              <w:t>нтерна</w:t>
            </w:r>
            <w:r>
              <w:rPr>
                <w:lang w:val="sr-Cyrl-CS"/>
              </w:rPr>
              <w:t xml:space="preserve"> </w:t>
            </w:r>
            <w:r>
              <w:t>евиденција</w:t>
            </w:r>
          </w:p>
        </w:tc>
      </w:tr>
    </w:tbl>
    <w:p>
      <w:pPr>
        <w:rPr>
          <w:b/>
          <w:bCs/>
        </w:rPr>
      </w:pPr>
    </w:p>
    <w:p>
      <w:pPr>
        <w:rPr>
          <w:lang w:val="sr-Latn-CS"/>
        </w:rPr>
      </w:pPr>
    </w:p>
    <w:p>
      <w:pPr>
        <w:jc w:val="both"/>
        <w:rPr>
          <w:lang w:val="sr-Cyrl-RS"/>
        </w:rPr>
      </w:pPr>
      <w:r>
        <w:rPr>
          <w:lang w:val="sr-Latn-CS"/>
        </w:rPr>
        <w:tab/>
      </w:r>
    </w:p>
    <w:p>
      <w:pPr>
        <w:pStyle w:val="12"/>
        <w:numPr>
          <w:ilvl w:val="0"/>
          <w:numId w:val="2"/>
        </w:num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 xml:space="preserve"> ИЗВЕШТАЈ О РАДУ УПРАВНОГ И НАДЗОРНОГ ОДБОРА У РЕГИОНАЛНОМ ЦЕНТРУ СМЕДЕРЕВО</w:t>
      </w:r>
    </w:p>
    <w:p>
      <w:pPr>
        <w:jc w:val="both"/>
        <w:rPr>
          <w:lang w:val="sr-Cyrl-RS"/>
        </w:rPr>
      </w:pPr>
      <w:r>
        <w:rPr>
          <w:lang w:val="sr-Cyrl-RS"/>
        </w:rPr>
        <w:t xml:space="preserve">             Решењем Скупштине града Смедерева са 4. седнице одржане 18. децембра 2020. године именован је председник и 6 чланова Управног одбора Регионалног центра за професионални развој запослених у образовању Смедерево, као и председник и  4 члана Надзорног одбора.</w:t>
      </w:r>
    </w:p>
    <w:p>
      <w:pPr>
        <w:jc w:val="both"/>
        <w:rPr>
          <w:lang w:val="sr-Cyrl-RS"/>
        </w:rPr>
      </w:pP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У 2022. години Управни одбор се састајао 6 пута (Осма - тринаеста седница), док  је Надзорни одбор одржао  1 седницу у току 2022. године.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Осма  седница Управног одбора одржана је 8. фебруара 2022. године и тада је Усвојен Извештај о раду Регионалног центра за 2021. годину, Извештај о финансијском пословању Регионалног цента за 2021. годину, као и Извештај Пописне комисије о извешеном попису за 2021. годину. На овој седници усвојен је и Правилник о буџетском рачуноводству Регионалног центра за професионални развој запослених у образовању Смедерево.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На деветој  седници Управног и  другој седници Надзорног одбора одржаних 3. марта 2022. године усвојен је Годишњи финансијски извештај за 2021. годину.</w:t>
      </w:r>
    </w:p>
    <w:p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На десетој седници Управног одбора која је одржана 14. марта 2022. године разматране су и усвојени:  Правилник о начину евидентирања, класификовања, архивирања и чувања архивске грађе и документарног материјала, Правилник о начину евидентирања, заштите и коришћења електронских докумената  и усвојена је листа категорија архивске грађе и документарног материјала са роковима чувања 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На једанаестој седници Управног одбора која је одржана 16. јуна 2022. године усвојен је Измењен финансијски план Регионалног центра за професионални развој запослених у образовању Смедерево за 2022. годину, усвојен је Ценовник услуга које пружа Регионални центар у оквиру обављања делатности, усвојен је Правилник о начину регистровања фактура у СЕФ-у и о елементима електронске фактуре, дата је сагласност на Одлуку директора о увећању коефицијената за поједине запослене у Центру, као и измена уговора о раду за в.д. директора.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Теме дванаесте седнице Управног одбора која је одржана 27. октобра 2022. године биле су измене и допуне финансијског плана Регионалног цента за професионални развој запослених у образовању за 2022. , као и упознавање Управног одбора са захтевом Удружења словенаца „Мартин Крпан“ у Смедереву за коришћење простора без накнада у школској 2022/2023 години.</w:t>
      </w:r>
    </w:p>
    <w:p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Тринаеста седница Управног одбора Регионалног центра  одржана је 13. децембра 2022. године и тада је усвојен Програм рада Центра за 2023. годину са финансијским планом за 2023. годину, а све у складу са Одлуком о буџету за 2023. годину, чиме су створени услови за несметан рад Центра у 2023. години.</w:t>
      </w:r>
    </w:p>
    <w:p>
      <w:pPr>
        <w:jc w:val="both"/>
        <w:rPr>
          <w:lang w:val="sr-Cyrl-RS"/>
        </w:rPr>
      </w:pPr>
    </w:p>
    <w:p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В.Д. ДИРЕКТОРКА</w:t>
      </w:r>
    </w:p>
    <w:p>
      <w:pPr>
        <w:rPr>
          <w:lang w:val="sr-Cyrl-RS"/>
        </w:rPr>
      </w:pPr>
      <w:r>
        <w:rPr>
          <w:lang w:val="sr-Cyrl-RS"/>
        </w:rPr>
        <w:t xml:space="preserve">                                               ЉИЉАНА ЖИВОТИЋ-ЖИВАНОВИЋ, дипл. економиста</w:t>
      </w:r>
    </w:p>
    <w:sectPr>
      <w:headerReference r:id="rId5" w:type="default"/>
      <w:footerReference r:id="rId6" w:type="default"/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0953503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lang w:val="sr-Cyrl-RS"/>
      </w:rPr>
      <w:t>Регионални центар за професионални развој запослених у образовању Смедерево</w:t>
    </w: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C4FE7"/>
    <w:multiLevelType w:val="multilevel"/>
    <w:tmpl w:val="301C4F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A1B8F"/>
    <w:multiLevelType w:val="multilevel"/>
    <w:tmpl w:val="43AA1B8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  <w:u w:val="none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  <w:u w:val="none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sz w:val="24"/>
        <w:u w:val="none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4"/>
        <w:u w:val="none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sz w:val="24"/>
        <w:u w:val="none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sz w:val="24"/>
        <w:u w:val="none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sz w:val="24"/>
        <w:u w:val="none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sz w:val="24"/>
        <w:u w:val="none"/>
      </w:rPr>
    </w:lvl>
  </w:abstractNum>
  <w:abstractNum w:abstractNumId="2">
    <w:nsid w:val="43DA546E"/>
    <w:multiLevelType w:val="multilevel"/>
    <w:tmpl w:val="43DA546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C0526E7"/>
    <w:multiLevelType w:val="multilevel"/>
    <w:tmpl w:val="4C0526E7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DC"/>
    <w:rsid w:val="00002D54"/>
    <w:rsid w:val="0002769F"/>
    <w:rsid w:val="0003396E"/>
    <w:rsid w:val="0004114C"/>
    <w:rsid w:val="00047A74"/>
    <w:rsid w:val="00065B50"/>
    <w:rsid w:val="00080614"/>
    <w:rsid w:val="0008443E"/>
    <w:rsid w:val="000977A8"/>
    <w:rsid w:val="000A3AAD"/>
    <w:rsid w:val="000A6E14"/>
    <w:rsid w:val="000B2C45"/>
    <w:rsid w:val="000C6607"/>
    <w:rsid w:val="000D0E9E"/>
    <w:rsid w:val="000D4342"/>
    <w:rsid w:val="000E0FA9"/>
    <w:rsid w:val="000E1C6B"/>
    <w:rsid w:val="000E55D3"/>
    <w:rsid w:val="000E7D80"/>
    <w:rsid w:val="000F0BFE"/>
    <w:rsid w:val="000F1ED9"/>
    <w:rsid w:val="001034B1"/>
    <w:rsid w:val="001308E4"/>
    <w:rsid w:val="001570DC"/>
    <w:rsid w:val="00165AD5"/>
    <w:rsid w:val="00185B1D"/>
    <w:rsid w:val="001960D4"/>
    <w:rsid w:val="001A46FE"/>
    <w:rsid w:val="001C2AB4"/>
    <w:rsid w:val="001D3F1E"/>
    <w:rsid w:val="001D5F4E"/>
    <w:rsid w:val="001D7159"/>
    <w:rsid w:val="00202F03"/>
    <w:rsid w:val="00203B95"/>
    <w:rsid w:val="00205E65"/>
    <w:rsid w:val="00207E30"/>
    <w:rsid w:val="00212FF0"/>
    <w:rsid w:val="002153C6"/>
    <w:rsid w:val="00233CEE"/>
    <w:rsid w:val="00247345"/>
    <w:rsid w:val="00250375"/>
    <w:rsid w:val="0026021D"/>
    <w:rsid w:val="00262D4A"/>
    <w:rsid w:val="00265E86"/>
    <w:rsid w:val="00266931"/>
    <w:rsid w:val="00275842"/>
    <w:rsid w:val="00280010"/>
    <w:rsid w:val="00280E8E"/>
    <w:rsid w:val="002852B3"/>
    <w:rsid w:val="002A0EB1"/>
    <w:rsid w:val="002B0D85"/>
    <w:rsid w:val="002B49C3"/>
    <w:rsid w:val="002C0EE6"/>
    <w:rsid w:val="002C227A"/>
    <w:rsid w:val="002C410E"/>
    <w:rsid w:val="002E3B16"/>
    <w:rsid w:val="002E3B23"/>
    <w:rsid w:val="002E4FA3"/>
    <w:rsid w:val="002E5B0D"/>
    <w:rsid w:val="00300F07"/>
    <w:rsid w:val="0030690C"/>
    <w:rsid w:val="0031355D"/>
    <w:rsid w:val="0031555C"/>
    <w:rsid w:val="00335E59"/>
    <w:rsid w:val="00337696"/>
    <w:rsid w:val="00347666"/>
    <w:rsid w:val="003773B9"/>
    <w:rsid w:val="00393861"/>
    <w:rsid w:val="003A3864"/>
    <w:rsid w:val="003B45CB"/>
    <w:rsid w:val="003D6224"/>
    <w:rsid w:val="003E138F"/>
    <w:rsid w:val="003E4E57"/>
    <w:rsid w:val="00412642"/>
    <w:rsid w:val="00416024"/>
    <w:rsid w:val="00417248"/>
    <w:rsid w:val="00426FA1"/>
    <w:rsid w:val="004310EC"/>
    <w:rsid w:val="00437E08"/>
    <w:rsid w:val="004541BB"/>
    <w:rsid w:val="004635D6"/>
    <w:rsid w:val="004809F7"/>
    <w:rsid w:val="004A1D16"/>
    <w:rsid w:val="004B4FD0"/>
    <w:rsid w:val="004D61D2"/>
    <w:rsid w:val="004D69E3"/>
    <w:rsid w:val="004E6C50"/>
    <w:rsid w:val="004F23F9"/>
    <w:rsid w:val="00531A3A"/>
    <w:rsid w:val="0053217F"/>
    <w:rsid w:val="00532FE5"/>
    <w:rsid w:val="0053583E"/>
    <w:rsid w:val="0054133B"/>
    <w:rsid w:val="00547A39"/>
    <w:rsid w:val="00561B85"/>
    <w:rsid w:val="00580FF5"/>
    <w:rsid w:val="00594B2A"/>
    <w:rsid w:val="00597857"/>
    <w:rsid w:val="005A0703"/>
    <w:rsid w:val="005B242C"/>
    <w:rsid w:val="005C37E5"/>
    <w:rsid w:val="005C4A25"/>
    <w:rsid w:val="005E36FA"/>
    <w:rsid w:val="005F0EA8"/>
    <w:rsid w:val="005F3E14"/>
    <w:rsid w:val="00617A2B"/>
    <w:rsid w:val="00625AEB"/>
    <w:rsid w:val="00631CFD"/>
    <w:rsid w:val="00637439"/>
    <w:rsid w:val="006501DC"/>
    <w:rsid w:val="006546FC"/>
    <w:rsid w:val="00687059"/>
    <w:rsid w:val="00690BC5"/>
    <w:rsid w:val="0069152C"/>
    <w:rsid w:val="006A6C78"/>
    <w:rsid w:val="006B4A07"/>
    <w:rsid w:val="006E195D"/>
    <w:rsid w:val="006E5773"/>
    <w:rsid w:val="007054E9"/>
    <w:rsid w:val="00725A48"/>
    <w:rsid w:val="00743B6B"/>
    <w:rsid w:val="0075174B"/>
    <w:rsid w:val="00764D60"/>
    <w:rsid w:val="007723C6"/>
    <w:rsid w:val="00795271"/>
    <w:rsid w:val="007A40A0"/>
    <w:rsid w:val="007B33E2"/>
    <w:rsid w:val="007D44F6"/>
    <w:rsid w:val="007E5F64"/>
    <w:rsid w:val="007F250A"/>
    <w:rsid w:val="007F37FD"/>
    <w:rsid w:val="00814A90"/>
    <w:rsid w:val="00826578"/>
    <w:rsid w:val="008518EB"/>
    <w:rsid w:val="00862976"/>
    <w:rsid w:val="00863FDE"/>
    <w:rsid w:val="0088338D"/>
    <w:rsid w:val="00887E44"/>
    <w:rsid w:val="008A4095"/>
    <w:rsid w:val="008C1B72"/>
    <w:rsid w:val="008C23AA"/>
    <w:rsid w:val="008D0C94"/>
    <w:rsid w:val="008D1F58"/>
    <w:rsid w:val="008E1835"/>
    <w:rsid w:val="008E2636"/>
    <w:rsid w:val="008E6612"/>
    <w:rsid w:val="00917E7D"/>
    <w:rsid w:val="009236C2"/>
    <w:rsid w:val="00932633"/>
    <w:rsid w:val="00943835"/>
    <w:rsid w:val="00943A33"/>
    <w:rsid w:val="00944FEA"/>
    <w:rsid w:val="009452F9"/>
    <w:rsid w:val="0097553B"/>
    <w:rsid w:val="009830C7"/>
    <w:rsid w:val="00987EA1"/>
    <w:rsid w:val="0099151D"/>
    <w:rsid w:val="009921F9"/>
    <w:rsid w:val="00992971"/>
    <w:rsid w:val="00996B5D"/>
    <w:rsid w:val="009971CA"/>
    <w:rsid w:val="009A2A19"/>
    <w:rsid w:val="009A6CC7"/>
    <w:rsid w:val="009B4DA6"/>
    <w:rsid w:val="009B7828"/>
    <w:rsid w:val="009C41AA"/>
    <w:rsid w:val="009F5F39"/>
    <w:rsid w:val="00A115C6"/>
    <w:rsid w:val="00A210F0"/>
    <w:rsid w:val="00A270AB"/>
    <w:rsid w:val="00A50B53"/>
    <w:rsid w:val="00A51375"/>
    <w:rsid w:val="00A63A83"/>
    <w:rsid w:val="00A64319"/>
    <w:rsid w:val="00A7531B"/>
    <w:rsid w:val="00A924DC"/>
    <w:rsid w:val="00AA6BA2"/>
    <w:rsid w:val="00AA75DC"/>
    <w:rsid w:val="00AB1845"/>
    <w:rsid w:val="00AD0EE8"/>
    <w:rsid w:val="00AD3B23"/>
    <w:rsid w:val="00AD55BB"/>
    <w:rsid w:val="00B06DDF"/>
    <w:rsid w:val="00B23681"/>
    <w:rsid w:val="00B261FF"/>
    <w:rsid w:val="00B42071"/>
    <w:rsid w:val="00B43701"/>
    <w:rsid w:val="00B55C45"/>
    <w:rsid w:val="00B650CE"/>
    <w:rsid w:val="00B65A50"/>
    <w:rsid w:val="00B81E7B"/>
    <w:rsid w:val="00B86D23"/>
    <w:rsid w:val="00BB651D"/>
    <w:rsid w:val="00BD0849"/>
    <w:rsid w:val="00BD4502"/>
    <w:rsid w:val="00BE4334"/>
    <w:rsid w:val="00C01C24"/>
    <w:rsid w:val="00C07AF8"/>
    <w:rsid w:val="00C112B2"/>
    <w:rsid w:val="00C1678E"/>
    <w:rsid w:val="00C16E12"/>
    <w:rsid w:val="00C305C4"/>
    <w:rsid w:val="00C44136"/>
    <w:rsid w:val="00C71A20"/>
    <w:rsid w:val="00C82A3B"/>
    <w:rsid w:val="00C82F71"/>
    <w:rsid w:val="00C85503"/>
    <w:rsid w:val="00C87D08"/>
    <w:rsid w:val="00C91687"/>
    <w:rsid w:val="00CA14D2"/>
    <w:rsid w:val="00CA655E"/>
    <w:rsid w:val="00CA74CA"/>
    <w:rsid w:val="00CD21A2"/>
    <w:rsid w:val="00CF4EB0"/>
    <w:rsid w:val="00CF76A7"/>
    <w:rsid w:val="00D005B2"/>
    <w:rsid w:val="00D13F68"/>
    <w:rsid w:val="00D15072"/>
    <w:rsid w:val="00D2291A"/>
    <w:rsid w:val="00D450D2"/>
    <w:rsid w:val="00D479E2"/>
    <w:rsid w:val="00D52FC5"/>
    <w:rsid w:val="00D57050"/>
    <w:rsid w:val="00D6744A"/>
    <w:rsid w:val="00D84484"/>
    <w:rsid w:val="00D94D09"/>
    <w:rsid w:val="00DC0397"/>
    <w:rsid w:val="00DC40FF"/>
    <w:rsid w:val="00DD31FE"/>
    <w:rsid w:val="00DD5E79"/>
    <w:rsid w:val="00DD7A24"/>
    <w:rsid w:val="00DD7DC1"/>
    <w:rsid w:val="00DE505E"/>
    <w:rsid w:val="00DF2786"/>
    <w:rsid w:val="00E33D24"/>
    <w:rsid w:val="00E34E00"/>
    <w:rsid w:val="00E35B96"/>
    <w:rsid w:val="00E43129"/>
    <w:rsid w:val="00E509C8"/>
    <w:rsid w:val="00E60467"/>
    <w:rsid w:val="00E604A0"/>
    <w:rsid w:val="00E65331"/>
    <w:rsid w:val="00E73470"/>
    <w:rsid w:val="00E74115"/>
    <w:rsid w:val="00E7473C"/>
    <w:rsid w:val="00E76AB5"/>
    <w:rsid w:val="00E81076"/>
    <w:rsid w:val="00E84522"/>
    <w:rsid w:val="00E948AB"/>
    <w:rsid w:val="00EC271D"/>
    <w:rsid w:val="00EC5EE2"/>
    <w:rsid w:val="00ED5273"/>
    <w:rsid w:val="00ED7A9F"/>
    <w:rsid w:val="00EE2367"/>
    <w:rsid w:val="00EE335D"/>
    <w:rsid w:val="00EF736D"/>
    <w:rsid w:val="00F02853"/>
    <w:rsid w:val="00F061E7"/>
    <w:rsid w:val="00F15CF6"/>
    <w:rsid w:val="00F1644F"/>
    <w:rsid w:val="00F24405"/>
    <w:rsid w:val="00F273F6"/>
    <w:rsid w:val="00F2792D"/>
    <w:rsid w:val="00F54003"/>
    <w:rsid w:val="00F65B36"/>
    <w:rsid w:val="00F7007F"/>
    <w:rsid w:val="00F71776"/>
    <w:rsid w:val="00F776C3"/>
    <w:rsid w:val="00F807D8"/>
    <w:rsid w:val="00FA2E0A"/>
    <w:rsid w:val="00FA687B"/>
    <w:rsid w:val="00FB5075"/>
    <w:rsid w:val="00FC54AC"/>
    <w:rsid w:val="00FD3285"/>
    <w:rsid w:val="00FD48D7"/>
    <w:rsid w:val="00FD5D49"/>
    <w:rsid w:val="00FE312A"/>
    <w:rsid w:val="00FF22B4"/>
    <w:rsid w:val="2D0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sr-Latn-C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0"/>
    <w:rPr>
      <w:i/>
      <w:iCs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footnote reference"/>
    <w:basedOn w:val="2"/>
    <w:semiHidden/>
    <w:unhideWhenUsed/>
    <w:uiPriority w:val="99"/>
    <w:rPr>
      <w:vertAlign w:val="superscript"/>
    </w:rPr>
  </w:style>
  <w:style w:type="paragraph" w:styleId="8">
    <w:name w:val="footnote text"/>
    <w:basedOn w:val="1"/>
    <w:link w:val="13"/>
    <w:semiHidden/>
    <w:unhideWhenUsed/>
    <w:uiPriority w:val="99"/>
    <w:rPr>
      <w:sz w:val="20"/>
      <w:szCs w:val="20"/>
    </w:rPr>
  </w:style>
  <w:style w:type="paragraph" w:styleId="9">
    <w:name w:val="head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character" w:styleId="10">
    <w:name w:val="line number"/>
    <w:basedOn w:val="2"/>
    <w:semiHidden/>
    <w:unhideWhenUsed/>
    <w:uiPriority w:val="99"/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otnote Text Char"/>
    <w:basedOn w:val="2"/>
    <w:link w:val="8"/>
    <w:semiHidden/>
    <w:uiPriority w:val="99"/>
    <w:rPr>
      <w:rFonts w:ascii="Times New Roman" w:hAnsi="Times New Roman" w:eastAsia="Times New Roman" w:cs="Times New Roman"/>
      <w:color w:val="000000"/>
      <w:sz w:val="20"/>
      <w:szCs w:val="20"/>
      <w:lang w:eastAsia="sr-Latn-CS"/>
    </w:rPr>
  </w:style>
  <w:style w:type="character" w:customStyle="1" w:styleId="14">
    <w:name w:val="Header Char"/>
    <w:basedOn w:val="2"/>
    <w:link w:val="9"/>
    <w:uiPriority w:val="99"/>
    <w:rPr>
      <w:rFonts w:ascii="Times New Roman" w:hAnsi="Times New Roman" w:eastAsia="Times New Roman" w:cs="Times New Roman"/>
      <w:color w:val="000000"/>
      <w:sz w:val="24"/>
      <w:szCs w:val="24"/>
      <w:lang w:eastAsia="sr-Latn-CS"/>
    </w:rPr>
  </w:style>
  <w:style w:type="character" w:customStyle="1" w:styleId="15">
    <w:name w:val="Footer Char"/>
    <w:basedOn w:val="2"/>
    <w:link w:val="6"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eastAsia="sr-Latn-CS"/>
    </w:rPr>
  </w:style>
  <w:style w:type="paragraph" w:styleId="16">
    <w:name w:val="No Spacing"/>
    <w:link w:val="18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color w:val="44546A" w:themeColor="text2"/>
      <w:sz w:val="20"/>
      <w:szCs w:val="20"/>
      <w:lang w:val="en-US" w:eastAsia="en-US" w:bidi="ar-SA"/>
      <w14:textFill>
        <w14:solidFill>
          <w14:schemeClr w14:val="tx2"/>
        </w14:solidFill>
      </w14:textFill>
    </w:rPr>
  </w:style>
  <w:style w:type="character" w:customStyle="1" w:styleId="17">
    <w:name w:val="Balloon Text Char"/>
    <w:basedOn w:val="2"/>
    <w:link w:val="4"/>
    <w:semiHidden/>
    <w:uiPriority w:val="99"/>
    <w:rPr>
      <w:rFonts w:ascii="Segoe UI" w:hAnsi="Segoe UI" w:eastAsia="Times New Roman" w:cs="Segoe UI"/>
      <w:color w:val="000000"/>
      <w:sz w:val="18"/>
      <w:szCs w:val="18"/>
      <w:lang w:eastAsia="sr-Latn-CS"/>
    </w:rPr>
  </w:style>
  <w:style w:type="character" w:customStyle="1" w:styleId="18">
    <w:name w:val="No Spacing Char"/>
    <w:link w:val="16"/>
    <w:locked/>
    <w:uiPriority w:val="1"/>
    <w:rPr>
      <w:color w:val="44546A" w:themeColor="text2"/>
      <w:sz w:val="20"/>
      <w:szCs w:val="20"/>
      <w14:textFill>
        <w14:solidFill>
          <w14:schemeClr w14:val="tx2"/>
        </w14:solidFill>
      </w14:textFill>
    </w:r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  <w:style w:type="character" w:customStyle="1" w:styleId="20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1">
    <w:name w:val="fontstyle2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7EFA-3BFE-47F3-8EAF-E9E4C9411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4695</Words>
  <Characters>26764</Characters>
  <Lines>223</Lines>
  <Paragraphs>62</Paragraphs>
  <TotalTime>408</TotalTime>
  <ScaleCrop>false</ScaleCrop>
  <LinksUpToDate>false</LinksUpToDate>
  <CharactersWithSpaces>31397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2023-01-05T11:07:00Z</dcterms:created>
  <dc:creator>Windows User</dc:creator>
  <cp:lastModifiedBy>Natasa Maksovic</cp:lastModifiedBy>
  <cp:lastPrinted>2023-01-10T09:39:00Z</cp:lastPrinted>
  <dcterms:modified xsi:type="dcterms:W3CDTF">2023-05-15T09:03:05Z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5C78849998B148D0B979682440B11F8D</vt:lpwstr>
  </property>
</Properties>
</file>